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right="0" w:rightChars="0" w:firstLine="0" w:firstLineChars="0"/>
        <w:jc w:val="center"/>
        <w:rPr>
          <w:rFonts w:ascii="Times New Roman" w:hAnsi="Times New Roman"/>
          <w:b/>
          <w:bCs/>
          <w:sz w:val="32"/>
          <w:szCs w:val="40"/>
        </w:rPr>
      </w:pPr>
      <w:r>
        <w:rPr>
          <w:rFonts w:hint="eastAsia" w:ascii="Times New Roman" w:hAnsi="Times New Roman"/>
          <w:b/>
          <w:bCs/>
          <w:sz w:val="32"/>
          <w:szCs w:val="40"/>
          <w:lang w:val="en-US" w:eastAsia="zh-CN"/>
        </w:rPr>
        <w:t>A</w:t>
      </w:r>
      <w:r>
        <w:rPr>
          <w:rFonts w:hint="eastAsia" w:ascii="Times New Roman" w:hAnsi="Times New Roman"/>
          <w:b/>
          <w:bCs/>
          <w:sz w:val="32"/>
          <w:szCs w:val="40"/>
        </w:rPr>
        <w:t xml:space="preserve"> Review </w:t>
      </w:r>
      <w:r>
        <w:rPr>
          <w:rFonts w:hint="eastAsia" w:ascii="Times New Roman" w:hAnsi="Times New Roman"/>
          <w:b/>
          <w:bCs/>
          <w:sz w:val="32"/>
          <w:szCs w:val="40"/>
          <w:lang w:val="en-US" w:eastAsia="zh-CN"/>
        </w:rPr>
        <w:t>of</w:t>
      </w:r>
      <w:r>
        <w:rPr>
          <w:rFonts w:hint="eastAsia" w:ascii="Times New Roman" w:hAnsi="Times New Roman"/>
          <w:b/>
          <w:bCs/>
          <w:sz w:val="32"/>
          <w:szCs w:val="40"/>
        </w:rPr>
        <w:t xml:space="preserve"> Driving Factors Contributed to Firm</w:t>
      </w:r>
      <w:r>
        <w:rPr>
          <w:rFonts w:ascii="Times New Roman" w:hAnsi="Times New Roman"/>
          <w:b/>
          <w:bCs/>
          <w:sz w:val="32"/>
          <w:szCs w:val="40"/>
        </w:rPr>
        <w:t>’</w:t>
      </w:r>
      <w:r>
        <w:rPr>
          <w:rFonts w:hint="eastAsia" w:ascii="Times New Roman" w:hAnsi="Times New Roman"/>
          <w:b/>
          <w:bCs/>
          <w:sz w:val="32"/>
          <w:szCs w:val="40"/>
        </w:rPr>
        <w:t>s Environmental Management</w:t>
      </w:r>
    </w:p>
    <w:p>
      <w:pPr>
        <w:spacing w:line="312" w:lineRule="auto"/>
        <w:rPr>
          <w:rFonts w:ascii="Times New Roman" w:hAnsi="Times New Roman"/>
        </w:rPr>
      </w:pPr>
    </w:p>
    <w:p>
      <w:pPr>
        <w:spacing w:line="312" w:lineRule="auto"/>
        <w:ind w:firstLine="420"/>
        <w:rPr>
          <w:rFonts w:ascii="Times New Roman" w:hAnsi="Times New Roman" w:cs="Times New Roman Regular"/>
        </w:rPr>
      </w:pPr>
      <w:r>
        <w:rPr>
          <w:rFonts w:hint="eastAsia" w:ascii="Times New Roman" w:hAnsi="Times New Roman" w:cs="Times New Roman Regular"/>
          <w:lang w:eastAsia="zh-Hans"/>
        </w:rPr>
        <w:t>Since the 21st century, severe climate change and environmental protection storms have swept across all fields of global politics and economy, and governments and enterprises are inevitably involved.</w:t>
      </w:r>
      <w:r>
        <w:rPr>
          <w:rFonts w:hint="eastAsia" w:ascii="Times New Roman" w:hAnsi="Times New Roman" w:cs="Times New Roman Regular"/>
        </w:rPr>
        <w:t xml:space="preserve"> Faced with massive pollutant emissions and increasing global warming, governments around the world have introduced increasingly stringent environmental protection measures and are working together to find new solutions to protect the environment and mitigate climate change. In this process, enterprises also play an important role, because currently 80% of environmental pollution is considered to come from the production and operation activities of enterprises. Fortunately, more and more companies have realized the importance of environmental issues, and they incorporate more demands for environmental protection from society into their operations, striving to establish their green image. </w:t>
      </w:r>
    </w:p>
    <w:p>
      <w:pPr>
        <w:spacing w:line="312" w:lineRule="auto"/>
        <w:ind w:firstLine="420"/>
        <w:rPr>
          <w:rFonts w:ascii="Times New Roman" w:hAnsi="Times New Roman" w:cs="Times New Roman Regular"/>
        </w:rPr>
      </w:pPr>
      <w:r>
        <w:rPr>
          <w:rFonts w:hint="eastAsia" w:ascii="Times New Roman" w:hAnsi="Times New Roman" w:cs="Times New Roman Regular"/>
        </w:rPr>
        <w:t>With the rise of green consumption and the change of the focus of corporate value evaluation, undertaking environmental responsibility has become an inevitable requirement for sustainable development of enterprises. Therefore, identifying the driving factors and their mechanisms of action that affect corporate environmental behavior is of great significance for further helping companies improve environmental management in the future, and it can also provide</w:t>
      </w:r>
      <w:r>
        <w:rPr>
          <w:rFonts w:hint="eastAsia" w:ascii="Times New Roman" w:hAnsi="Times New Roman" w:cs="Times New Roman Regular"/>
          <w:lang w:val="en-US" w:eastAsia="zh-CN"/>
        </w:rPr>
        <w:t xml:space="preserve"> a</w:t>
      </w:r>
      <w:r>
        <w:rPr>
          <w:rFonts w:hint="eastAsia" w:ascii="Times New Roman" w:hAnsi="Times New Roman" w:cs="Times New Roman Regular"/>
        </w:rPr>
        <w:t xml:space="preserve"> reference for the implementation of subsequent environmental regulations. In previous research, the</w:t>
      </w:r>
      <w:r>
        <w:rPr>
          <w:rFonts w:ascii="Times New Roman" w:hAnsi="Times New Roman" w:cs="Times New Roman Regular"/>
        </w:rPr>
        <w:t xml:space="preserve">re have been </w:t>
      </w:r>
      <w:r>
        <w:rPr>
          <w:rFonts w:hint="eastAsia" w:ascii="Times New Roman" w:hAnsi="Times New Roman" w:cs="Times New Roman Regular"/>
        </w:rPr>
        <w:t>lots</w:t>
      </w:r>
      <w:r>
        <w:rPr>
          <w:rFonts w:ascii="Times New Roman" w:hAnsi="Times New Roman" w:cs="Times New Roman Regular"/>
        </w:rPr>
        <w:t xml:space="preserve"> of empirical studies testing the factors that drive the motivations of firms to improve their environmental management. G</w:t>
      </w:r>
      <w:r>
        <w:rPr>
          <w:rFonts w:hint="eastAsia" w:ascii="Times New Roman" w:hAnsi="Times New Roman" w:cs="Times New Roman Regular"/>
        </w:rPr>
        <w:t>ene</w:t>
      </w:r>
      <w:r>
        <w:rPr>
          <w:rFonts w:ascii="Times New Roman" w:hAnsi="Times New Roman" w:cs="Times New Roman Regular"/>
        </w:rPr>
        <w:t xml:space="preserve">rally, it can be divided into external factors and internal factors, of which </w:t>
      </w:r>
      <w:r>
        <w:rPr>
          <w:rFonts w:hint="eastAsia" w:ascii="Times New Roman" w:hAnsi="Times New Roman" w:cs="Times New Roman Regular"/>
        </w:rPr>
        <w:t>r</w:t>
      </w:r>
      <w:r>
        <w:rPr>
          <w:rFonts w:ascii="Times New Roman" w:hAnsi="Times New Roman" w:cs="Times New Roman Regular"/>
        </w:rPr>
        <w:t xml:space="preserve">egulation, market, and community are usually summarized as the most important sources of external factors, while enterprise characteristics </w:t>
      </w:r>
      <w:r>
        <w:rPr>
          <w:rFonts w:hint="eastAsia" w:ascii="Times New Roman" w:hAnsi="Times New Roman" w:cs="Times New Roman Regular"/>
          <w:lang w:val="en-US" w:eastAsia="zh-CN"/>
        </w:rPr>
        <w:t>are</w:t>
      </w:r>
      <w:r>
        <w:rPr>
          <w:rFonts w:ascii="Times New Roman" w:hAnsi="Times New Roman" w:cs="Times New Roman Regular"/>
        </w:rPr>
        <w:t xml:space="preserve"> the source of internal factors. The literature review is organized by </w:t>
      </w:r>
      <w:r>
        <w:rPr>
          <w:rFonts w:hint="eastAsia" w:ascii="Times New Roman" w:hAnsi="Times New Roman" w:cs="Times New Roman Regular"/>
        </w:rPr>
        <w:t xml:space="preserve">respectively </w:t>
      </w:r>
      <w:r>
        <w:rPr>
          <w:rFonts w:ascii="Times New Roman" w:hAnsi="Times New Roman" w:cs="Times New Roman Regular"/>
        </w:rPr>
        <w:t xml:space="preserve">introducing </w:t>
      </w:r>
      <w:r>
        <w:rPr>
          <w:rFonts w:hint="eastAsia" w:ascii="Times New Roman" w:hAnsi="Times New Roman" w:cs="Times New Roman Regular"/>
        </w:rPr>
        <w:t>regulation, market, community, and corporate characteristics first, then displays several China</w:t>
      </w:r>
      <w:r>
        <w:rPr>
          <w:rFonts w:ascii="Times New Roman" w:hAnsi="Times New Roman" w:cs="Times New Roman Regular"/>
        </w:rPr>
        <w:t>’</w:t>
      </w:r>
      <w:r>
        <w:rPr>
          <w:rFonts w:hint="eastAsia" w:ascii="Times New Roman" w:hAnsi="Times New Roman" w:cs="Times New Roman Regular"/>
        </w:rPr>
        <w:t>s environmental policy instruments and their evaluations.</w:t>
      </w:r>
    </w:p>
    <w:p>
      <w:pPr>
        <w:spacing w:before="156" w:beforeLines="50" w:line="312" w:lineRule="auto"/>
        <w:ind w:firstLine="420"/>
        <w:rPr>
          <w:rFonts w:ascii="Times New Roman" w:hAnsi="Times New Roman" w:cs="Times New Roman Regular"/>
          <w:b/>
          <w:bCs/>
          <w:sz w:val="22"/>
          <w:szCs w:val="28"/>
        </w:rPr>
      </w:pPr>
      <w:r>
        <w:rPr>
          <w:rFonts w:hint="eastAsia" w:ascii="Times New Roman" w:hAnsi="Times New Roman" w:cs="Times New Roman Regular"/>
          <w:b/>
          <w:bCs/>
          <w:sz w:val="22"/>
          <w:szCs w:val="28"/>
        </w:rPr>
        <w:t xml:space="preserve">1 Environmental </w:t>
      </w:r>
      <w:r>
        <w:rPr>
          <w:rFonts w:ascii="Times New Roman" w:hAnsi="Times New Roman" w:cs="Times New Roman Regular"/>
          <w:b/>
          <w:bCs/>
          <w:sz w:val="22"/>
          <w:szCs w:val="28"/>
        </w:rPr>
        <w:t>regulation</w:t>
      </w:r>
    </w:p>
    <w:p>
      <w:pPr>
        <w:spacing w:line="312" w:lineRule="auto"/>
        <w:ind w:firstLine="420"/>
        <w:rPr>
          <w:rFonts w:ascii="Times New Roman" w:hAnsi="Times New Roman" w:cs="Times New Roman Regular"/>
        </w:rPr>
      </w:pPr>
      <w:r>
        <w:rPr>
          <w:rFonts w:ascii="Times New Roman" w:hAnsi="Times New Roman" w:cs="Times New Roman Regular"/>
        </w:rPr>
        <w:t xml:space="preserve">In many </w:t>
      </w:r>
      <w:r>
        <w:rPr>
          <w:rFonts w:hint="eastAsia" w:ascii="Times New Roman" w:hAnsi="Times New Roman" w:cs="Times New Roman Regular"/>
        </w:rPr>
        <w:t>pre</w:t>
      </w:r>
      <w:r>
        <w:rPr>
          <w:rFonts w:ascii="Times New Roman" w:hAnsi="Times New Roman" w:cs="Times New Roman Regular"/>
        </w:rPr>
        <w:t xml:space="preserve">vious studies, environmental regulation is usually listed as the primary factor driving the improvement of firms’ environmental management </w:t>
      </w:r>
      <w:r>
        <w:rPr>
          <w:rFonts w:ascii="Times New Roman" w:hAnsi="Times New Roman" w:cs="Times New Roman Regular"/>
        </w:rPr>
        <w:fldChar w:fldCharType="begin"/>
      </w:r>
      <w:r>
        <w:rPr>
          <w:rFonts w:ascii="Times New Roman" w:hAnsi="Times New Roman" w:cs="Times New Roman Regular"/>
        </w:rPr>
        <w:instrText xml:space="preserve"> ADDIN ZOTERO_ITEM CSL_CITATION {"citationID":"cP7FZT7Q","properties":{"formattedCitation":"(Liu, 2009; Zhang et al., 2009, 2008)","plainCitation":"(Liu, 2009; Zhang et al., 2009, 2008)","noteIndex":0},"citationItems":[{"id":3241,"uris":["http://zotero.org/users/9299646/items/E4KUZYW5"],"itemData":{"id":3241,"type":"article-journal","abstract":"Small- and medium-sized enterprises (SMEs) play an important role in sustainable development not only for their significant contribution to China’s economy, but also for their large share of total discharged pollutants. Therefore, this research takes the enterprises in Suzhou Industrial Park, China as the case study to investigate the environmental management practices of SMEs, and identify drivers and barriers to engaging businesses in environmental management initiatives. It is shown that, as in other countries, SMEs are less active in adopting environmental management initiatives than larger companies. Legislation remains the key driver to engage SMEs in environmental management initiatives. Based on the analysis, policy recommendations are also presented.","container-title":"Frontiers of Environmental Science &amp; Engineering in China","DOI":"10.1007/s11783-009-0014-7","ISSN":"1673-7520","issue":"2","journalAbbreviation":"Front. Environ. Sci. Eng. China","language":"en","page":"210-220","source":"Springer Link","title":"Drivers and barriers to engage enterprises in environmental management initiatives in Suzhou Industrial Park, China","volume":"3","author":[{"family":"Zhang","given":"Bing"},{"family":"Bi","given":"Jun"},{"family":"Liu","given":"Beibei"}],"issued":{"date-parts":[["2009",6,1]]}}},{"id":3296,"uris":["http://zotero.org/users/9299646/items/3MJ72RVE"],"itemData":{"id":3296,"type":"article-journal","abstract":"This research employed a quantitative survey in order to ascertain whether the external environmental pressure on firms was a contributing factor to their environmental behavior. Data was obtained from 321 firms located in the Yangtze River Delta of China using structured questionnaires. The relationship between external environmental pressure on firms and their environmental behavior was tested using LISREL 10.0 through path analysis. The results revealed that external environmental pressure on firms was significantly and positively related to their environmental behavior. The results also indicated that pressure from the governmental regulation was the most important factor on environmental defensive behavior of firms, Furthermore, pressure from markets was the most important factor on their environmental preventive behavior. Lastly, pressure from community and NGOs was the most important factor on their environmental enthusiastic behavior.","container-title":"Journal of Cleaner Production","DOI":"10.1016/j.jclepro.2009.05.010","ISSN":"0959-6526","issue":"16","journalAbbreviation":"Journal of Cleaner Production","language":"en","page":"1480-1486","source":"ScienceDirect","title":"Investigating external environmental pressure on firms and their behavior in Yangtze River Delta of China","volume":"17","author":[{"family":"Liu","given":"Yong"}],"issued":{"date-parts":[["2009",11,1]]}}},{"id":3228,"uris":["http://zotero.org/users/9299646/items/BFRXPNQ6"],"itemData":{"id":3228,"type":"article-journal","abstract":"There are increasing pressures being put on firms, from a number of different sources, such as governmental regulation, community participation and market demand, to engage firms in environmental initiatives. These factors play different roles at various development periods. Government regulation was the major pressure, initially. However, community participation and market demand have become more and more important. Thus a better understanding of the determinant factors that play a role in engaging firms to take environmental management initiatives may help policy makers develop more effective environmental policies. Using data collected from 89 firms in Wujin county of Jiangsu Province, China, this paper developed an index system to evaluate the corporate environmental management performance. Furthermore, we used econometric methodology to identify the main factors that probably shape corporate environmental management performance, including both external pressures and firm characteristics. The results showed that pressures from supply chain, customers, and communities played positive roles in engaging firms to improve environmental management performance. However, the pressure from the regulatory system did not implicate positive effect on environmental management performance when basic compliance is not an issue in the region anymore. The results also showed that firms with larger scale will be more active in engaging in environmental management initiatives. Finally, our results suggest that: (a) regulation's stimulation may be reduced as long as firms have complied with requirements of local environmental standards and other environmental laws; (b) policy makers should pay more attention to market and information instruments; (c) more financial and technical support should be provided to encourage small- and medium-sized enterprises (SMEs) to improve environmental performance.","container-title":"Journal of Cleaner Production","DOI":"10.1016/j.jclepro.2007.06.016","ISSN":"0959-6526","issue":"10","journalAbbreviation":"Journal of Cleaner Production","language":"en","page":"1036-1045","source":"ScienceDirect","title":"Why do firms engage in environmental management? An empirical study in China","title-short":"Why do firms engage in environmental management?","volume":"16","author":[{"family":"Zhang","given":"Bing"},{"family":"Bi","given":"Jun"},{"family":"Yuan","given":"Zengwei"},{"family":"Ge","given":"Junjie"},{"family":"Liu","given":"Beibei"},{"family":"Bu","given":"Maoliang"}],"issued":{"date-parts":[["2008",7,1]]}}}],"schema":"https://github.com/citation-style-language/schema/raw/master/csl-citation.json"} </w:instrText>
      </w:r>
      <w:r>
        <w:rPr>
          <w:rFonts w:ascii="Times New Roman" w:hAnsi="Times New Roman" w:cs="Times New Roman Regular"/>
        </w:rPr>
        <w:fldChar w:fldCharType="separate"/>
      </w:r>
      <w:r>
        <w:rPr>
          <w:rFonts w:ascii="Times New Roman" w:hAnsi="Times New Roman" w:cs="Times New Roman Regular"/>
        </w:rPr>
        <w:t>(Liu, 2009; Zhang et al., 2009, 2008)</w:t>
      </w:r>
      <w:r>
        <w:rPr>
          <w:rFonts w:ascii="Times New Roman" w:hAnsi="Times New Roman" w:cs="Times New Roman Regular"/>
        </w:rPr>
        <w:fldChar w:fldCharType="end"/>
      </w:r>
      <w:r>
        <w:rPr>
          <w:rFonts w:ascii="Times New Roman" w:hAnsi="Times New Roman" w:cs="Times New Roman Regular"/>
        </w:rPr>
        <w:t>. Environmental regulation is to regulate various behaviors that pollute the public environment for the purpose of protecting the environment, which convert</w:t>
      </w:r>
      <w:r>
        <w:rPr>
          <w:rFonts w:hint="eastAsia" w:ascii="Times New Roman" w:hAnsi="Times New Roman" w:cs="Times New Roman Regular"/>
          <w:lang w:val="en-US" w:eastAsia="zh-CN"/>
        </w:rPr>
        <w:t>s</w:t>
      </w:r>
      <w:r>
        <w:rPr>
          <w:rFonts w:ascii="Times New Roman" w:hAnsi="Times New Roman" w:cs="Times New Roman Regular"/>
        </w:rPr>
        <w:t xml:space="preserve"> the cost borne by the whole society into the private cost borne by </w:t>
      </w:r>
      <w:r>
        <w:rPr>
          <w:rFonts w:hint="eastAsia" w:ascii="Times New Roman" w:hAnsi="Times New Roman" w:cs="Times New Roman Regular"/>
        </w:rPr>
        <w:t>fir</w:t>
      </w:r>
      <w:r>
        <w:rPr>
          <w:rFonts w:ascii="Times New Roman" w:hAnsi="Times New Roman" w:cs="Times New Roman Regular"/>
        </w:rPr>
        <w:t xml:space="preserve">ms who pollute the environment. </w:t>
      </w:r>
      <w:r>
        <w:rPr>
          <w:rFonts w:hint="eastAsia" w:ascii="Times New Roman" w:hAnsi="Times New Roman" w:cs="Times New Roman Regular"/>
        </w:rPr>
        <w:t xml:space="preserve">The pressure from environmental regulation </w:t>
      </w:r>
      <w:r>
        <w:rPr>
          <w:rFonts w:ascii="Times New Roman" w:hAnsi="Times New Roman" w:cs="Times New Roman Regular"/>
        </w:rPr>
        <w:t>encourage</w:t>
      </w:r>
      <w:r>
        <w:rPr>
          <w:rFonts w:hint="eastAsia" w:ascii="Times New Roman" w:hAnsi="Times New Roman" w:cs="Times New Roman Regular"/>
        </w:rPr>
        <w:t>s</w:t>
      </w:r>
      <w:r>
        <w:rPr>
          <w:rFonts w:ascii="Times New Roman" w:hAnsi="Times New Roman" w:cs="Times New Roman Regular"/>
        </w:rPr>
        <w:t xml:space="preserve"> firms to consider environmental responsibility in their strategy</w:t>
      </w:r>
      <w:r>
        <w:rPr>
          <w:rFonts w:hint="eastAsia" w:ascii="Times New Roman" w:hAnsi="Times New Roman" w:cs="Times New Roman Regular"/>
          <w:lang w:val="en-US" w:eastAsia="zh-CN"/>
        </w:rPr>
        <w:t>-</w:t>
      </w:r>
      <w:r>
        <w:rPr>
          <w:rFonts w:ascii="Times New Roman" w:hAnsi="Times New Roman" w:cs="Times New Roman Regular"/>
        </w:rPr>
        <w:t xml:space="preserve">making </w:t>
      </w:r>
      <w:r>
        <w:rPr>
          <w:rFonts w:ascii="Times New Roman" w:hAnsi="Times New Roman" w:cs="Times New Roman Regular"/>
        </w:rPr>
        <w:fldChar w:fldCharType="begin"/>
      </w:r>
      <w:r>
        <w:rPr>
          <w:rFonts w:ascii="Times New Roman" w:hAnsi="Times New Roman" w:cs="Times New Roman Regular"/>
        </w:rPr>
        <w:instrText xml:space="preserve"> ADDIN ZOTERO_ITEM CSL_CITATION {"citationID":"fKgV8GA0","properties":{"formattedCitation":"(Rugman and Verbeke, 1998)","plainCitation":"(Rugman and Verbeke, 1998)","noteIndex":0},"citationItems":[{"id":3898,"uris":["http://zotero.org/users/9299646/items/TUR9DZNB"],"itemData":{"id":3898,"type":"article-journal","abstract":"An emerging subfield of strategic management is that dealing with the natural environment as it affects corporate strategy. To analyze this we organize the literature on environmental regulations and corporate strategy into a new managerial framework. Next we develop a resource-based view of the interaction between firm-level competitiveness and environmental regulations, including the conditions for the use of green capabilities. Finally, we analyze the green capabilities of multinational enterprises within a standard international business model, using firm-specific advantages (FSAs) and country-specific advantages (CSAs). We then use this FSA/CSA configuration to explore hypotheses on environmental regulations, competitiveness, and corporate strategy. © 1998 John Wiley &amp; Sons, Ltd.","archive":"Scopus","container-title":"Strategic Management Journal","DOI":"10.1002/(SICI)1097-0266(199804)19:4&lt;363::AID-SMJ974&gt;3.0.CO;2-H","ISSN":"0143-2095","issue":"4","language":"en","page":"363-375","source":"Scopus","title":"Corporate strategies and environmental regulations: An organizing framework","title-short":"Corporate strategies and environmental regulations","volume":"19","author":[{"family":"Rugman","given":"A.M."},{"family":"Verbeke","given":"A."}],"issued":{"date-parts":[["1998"]]}}}],"schema":"https://github.com/citation-style-language/schema/raw/master/csl-citation.json"} </w:instrText>
      </w:r>
      <w:r>
        <w:rPr>
          <w:rFonts w:ascii="Times New Roman" w:hAnsi="Times New Roman" w:cs="Times New Roman Regular"/>
        </w:rPr>
        <w:fldChar w:fldCharType="separate"/>
      </w:r>
      <w:r>
        <w:rPr>
          <w:rFonts w:ascii="Times New Roman" w:hAnsi="Times New Roman" w:cs="Times New Roman Regular"/>
        </w:rPr>
        <w:t>(Rugman and Verbeke, 1998)</w:t>
      </w:r>
      <w:r>
        <w:rPr>
          <w:rFonts w:ascii="Times New Roman" w:hAnsi="Times New Roman" w:cs="Times New Roman Regular"/>
        </w:rPr>
        <w:fldChar w:fldCharType="end"/>
      </w:r>
      <w:r>
        <w:rPr>
          <w:rFonts w:ascii="Times New Roman" w:hAnsi="Times New Roman" w:cs="Times New Roman Regular"/>
        </w:rPr>
        <w:t xml:space="preserve">. There are two </w:t>
      </w:r>
      <w:r>
        <w:rPr>
          <w:rFonts w:hint="eastAsia" w:ascii="Times New Roman" w:hAnsi="Times New Roman" w:cs="Times New Roman Regular"/>
        </w:rPr>
        <w:t>main</w:t>
      </w:r>
      <w:r>
        <w:rPr>
          <w:rFonts w:ascii="Times New Roman" w:hAnsi="Times New Roman" w:cs="Times New Roman Regular"/>
        </w:rPr>
        <w:t xml:space="preserve"> forms of environmental regulation, </w:t>
      </w:r>
      <w:r>
        <w:rPr>
          <w:rFonts w:hint="eastAsia" w:ascii="Times New Roman" w:hAnsi="Times New Roman" w:cs="Times New Roman Regular"/>
        </w:rPr>
        <w:t>inclu</w:t>
      </w:r>
      <w:r>
        <w:rPr>
          <w:rFonts w:ascii="Times New Roman" w:hAnsi="Times New Roman" w:cs="Times New Roman Regular"/>
        </w:rPr>
        <w:t xml:space="preserve">ding administrative-based environmental regulation and market-based environmental regulation. The former directly </w:t>
      </w:r>
      <w:r>
        <w:rPr>
          <w:rFonts w:hint="eastAsia" w:ascii="Times New Roman" w:hAnsi="Times New Roman" w:cs="Times New Roman Regular"/>
        </w:rPr>
        <w:t>reg</w:t>
      </w:r>
      <w:r>
        <w:rPr>
          <w:rFonts w:ascii="Times New Roman" w:hAnsi="Times New Roman" w:cs="Times New Roman Regular"/>
        </w:rPr>
        <w:t xml:space="preserve">ulates and controls firms’ environmental management through legislation, norms, standards, etc., while the latter indirectly </w:t>
      </w:r>
      <w:r>
        <w:rPr>
          <w:rFonts w:hint="eastAsia" w:ascii="Times New Roman" w:hAnsi="Times New Roman" w:cs="Times New Roman Regular"/>
        </w:rPr>
        <w:t>take</w:t>
      </w:r>
      <w:r>
        <w:rPr>
          <w:rFonts w:ascii="Times New Roman" w:hAnsi="Times New Roman" w:cs="Times New Roman Regular"/>
        </w:rPr>
        <w:t>s effects by taxation, subsidies, prices, etc</w:t>
      </w:r>
      <w:r>
        <w:rPr>
          <w:rFonts w:hint="eastAsia" w:ascii="Times New Roman" w:hAnsi="Times New Roman" w:cs="Times New Roman Regular"/>
        </w:rPr>
        <w:t>.</w:t>
      </w:r>
      <w:r>
        <w:rPr>
          <w:rFonts w:ascii="Times New Roman" w:hAnsi="Times New Roman" w:cs="Times New Roman Regular"/>
        </w:rPr>
        <w:t xml:space="preserve"> </w:t>
      </w:r>
      <w:r>
        <w:rPr>
          <w:rFonts w:ascii="Times New Roman" w:hAnsi="Times New Roman" w:cs="Times New Roman Regular"/>
        </w:rPr>
        <w:fldChar w:fldCharType="begin"/>
      </w:r>
      <w:r>
        <w:rPr>
          <w:rFonts w:ascii="Times New Roman" w:hAnsi="Times New Roman" w:cs="Times New Roman Regular"/>
        </w:rPr>
        <w:instrText xml:space="preserve"> ADDIN ZOTERO_ITEM CSL_CITATION {"citationID":"WkdMscqb","properties":{"formattedCitation":"(Zhao et al., 2015)","plainCitation":"(Zhao et al., 2015)","noteIndex":0},"citationItems":[{"id":3387,"uris":["http://zotero.org/users/9299646/items/Y2ZL846A"],"itemData":{"id":3387,"type":"article-journal","abstract":"This article presents a structural equation model for exploring the impact of environmental regulations—administrative-based environmental regulation (command-and-control regulation) (AER) and market-based environmental regulation (MER), on Chinese firm behavior and competitiveness on the basis of data collected from Chinese electric power and iron and steel firms (most of these firms are state-owned enterprises). Our results show that both AER and MER promote the firm behavior shift toward green development, and enhance firm competitiveness. However, AER and MER have different impacts on firm specific behaviors such as strategy choice, production decisions, technical progress, and environmental management and different extent of impact on firm competitiveness. In addition, whilst AER has a strong significant positive impact on technological innovation and plays a direct role in competitive improvement, MER does not. On the other hand, only MER plays significant roles in promoting the behavior shift of strategy toward green development. These findings signify that it is important for China to pursue the coordination between AER and MER, and to identify the line of playing roles between AER and MER.","container-title":"Journal of Cleaner Production","DOI":"10.1016/j.jclepro.2014.08.074","ISSN":"0959-6526","journalAbbreviation":"Journal of Cleaner Production","language":"en","page":"311-322","source":"ScienceDirect","title":"Corporate behavior and competitiveness: impact of environmental regulation on Chinese firms","title-short":"Corporate behavior and competitiveness","volume":"86","author":[{"family":"Zhao","given":"Xiaoli"},{"family":"Zhao","given":"Yue"},{"family":"Zeng","given":"Saixing"},{"family":"Zhang","given":"Sufang"}],"issued":{"date-parts":[["2015",1,1]]}}}],"schema":"https://github.com/citation-style-language/schema/raw/master/csl-citation.json"} </w:instrText>
      </w:r>
      <w:r>
        <w:rPr>
          <w:rFonts w:ascii="Times New Roman" w:hAnsi="Times New Roman" w:cs="Times New Roman Regular"/>
        </w:rPr>
        <w:fldChar w:fldCharType="separate"/>
      </w:r>
      <w:r>
        <w:rPr>
          <w:rFonts w:ascii="Times New Roman" w:hAnsi="Times New Roman" w:cs="Times New Roman Regular"/>
        </w:rPr>
        <w:t>(Zhao et al., 2015)</w:t>
      </w:r>
      <w:r>
        <w:rPr>
          <w:rFonts w:ascii="Times New Roman" w:hAnsi="Times New Roman" w:cs="Times New Roman Regular"/>
        </w:rPr>
        <w:fldChar w:fldCharType="end"/>
      </w:r>
      <w:r>
        <w:rPr>
          <w:rFonts w:ascii="Times New Roman" w:hAnsi="Times New Roman" w:cs="Times New Roman Regular"/>
        </w:rPr>
        <w:t xml:space="preserve">. The government is the main stakeholder in regulation and it plays an important role in influencing firms’ environmental management practices. Through command-and-control </w:t>
      </w:r>
      <w:r>
        <w:rPr>
          <w:rFonts w:hint="eastAsia" w:ascii="Times New Roman" w:hAnsi="Times New Roman" w:cs="Times New Roman Regular"/>
        </w:rPr>
        <w:t>re</w:t>
      </w:r>
      <w:r>
        <w:rPr>
          <w:rFonts w:ascii="Times New Roman" w:hAnsi="Times New Roman" w:cs="Times New Roman Regular"/>
        </w:rPr>
        <w:t xml:space="preserve">gulations, the government can impose penalties, fines, lawsuits, and even revoke business licenses on companies that fail to meet the requirements. Therefore, companies responding to regulatory requirements may need to invest resources and manpower to control the environmental impact of their production processes </w:t>
      </w:r>
      <w:r>
        <w:rPr>
          <w:rFonts w:ascii="Times New Roman" w:hAnsi="Times New Roman" w:cs="Times New Roman Regular"/>
        </w:rPr>
        <w:fldChar w:fldCharType="begin"/>
      </w:r>
      <w:r>
        <w:rPr>
          <w:rFonts w:ascii="Times New Roman" w:hAnsi="Times New Roman" w:cs="Times New Roman Regular"/>
        </w:rPr>
        <w:instrText xml:space="preserve"> ADDIN ZOTERO_ITEM CSL_CITATION {"citationID":"hNKdy53T","properties":{"formattedCitation":"(Qi et al., 2013)","plainCitation":"(Qi et al., 2013)","noteIndex":0},"citationItems":[{"id":3264,"uris":["http://zotero.org/users/9299646/items/IDJ2UBY5"],"itemData":{"id":3264,"type":"article-journal","abstract":"Facing the challenge of environmental degradation in China, a growing number of firms have begun to integrate environmental management systems into their business strategies and develop green innovation strategies. Based on the stakeholder theory, this paper attempts to explore the influences of stakeholders on the implementation of green process and green product innovation. Empirical results show that foreign customers play a significant role in driving companies to adopt strategy of green process and green product innovation. For foreign-invested enterprises, the effect is limited to the adoption of green process innovation. It further reveals that community stakeholders and regulatory stakeholders have no significant effect on the corporate green process and green product innovation. Copyright © 2011 John Wiley &amp; Sons, Ltd and ERP Environment.","container-title":"Corporate Social Responsibility and Environmental Management","DOI":"10.1002/csr.283","ISSN":"1535-3966","issue":"1","language":"en","note":"_eprint: https://onlinelibrary.wiley.com/doi/pdf/10.1002/csr.283","page":"1-14","source":"Wiley Online Library","title":"Stakeholders' Influences on Corporate Green Innovation Strategy: A Case Study of Manufacturing Firms in China","title-short":"Stakeholders' Influences on Corporate Green Innovation Strategy","volume":"20","author":[{"family":"Qi","given":"Guoyou"},{"family":"Zeng","given":"Saixing"},{"family":"Chiming","given":"Tam"},{"family":"Haitao","given":"Yin"},{"family":"Hailiang","given":"Zou"}],"issued":{"date-parts":[["2013"]]}}}],"schema":"https://github.com/citation-style-language/schema/raw/master/csl-citation.json"} </w:instrText>
      </w:r>
      <w:r>
        <w:rPr>
          <w:rFonts w:ascii="Times New Roman" w:hAnsi="Times New Roman" w:cs="Times New Roman Regular"/>
        </w:rPr>
        <w:fldChar w:fldCharType="separate"/>
      </w:r>
      <w:r>
        <w:rPr>
          <w:rFonts w:ascii="Times New Roman" w:hAnsi="Times New Roman" w:cs="Times New Roman Regular"/>
        </w:rPr>
        <w:t>(Qi et al., 2013)</w:t>
      </w:r>
      <w:r>
        <w:rPr>
          <w:rFonts w:ascii="Times New Roman" w:hAnsi="Times New Roman" w:cs="Times New Roman Regular"/>
        </w:rPr>
        <w:fldChar w:fldCharType="end"/>
      </w:r>
      <w:r>
        <w:rPr>
          <w:rFonts w:ascii="Times New Roman" w:hAnsi="Times New Roman" w:cs="Times New Roman Regular"/>
        </w:rPr>
        <w:t xml:space="preserve">, such as investment in abatement technology </w:t>
      </w:r>
      <w:r>
        <w:rPr>
          <w:rFonts w:ascii="Times New Roman" w:hAnsi="Times New Roman" w:cs="Times New Roman Regular"/>
        </w:rPr>
        <w:fldChar w:fldCharType="begin"/>
      </w:r>
      <w:r>
        <w:rPr>
          <w:rFonts w:ascii="Times New Roman" w:hAnsi="Times New Roman" w:cs="Times New Roman Regular"/>
        </w:rPr>
        <w:instrText xml:space="preserve"> ADDIN ZOTERO_ITEM CSL_CITATION {"citationID":"gEmUAKU7","properties":{"formattedCitation":"(Jorgenson and Wilcoxen, 1990)","plainCitation":"(Jorgenson and Wilcoxen, 1990)","noteIndex":0},"citationItems":[{"id":3903,"uris":["http://zotero.org/users/9299646/items/4UXB8I3T"],"itemData":{"id":3903,"type":"article-journal","abstract":"In this article we quantify the costs of pollution controls by reporting the results of simulations of the growth of the U.S. economy with and without regulation. For this purpose, we have constructed a detailed model of the economy that includes the determinants of long-term growth. We have also analyzed the interaction between industries in order to capture the full repercussions of environmental regulations. However, we have not attempted to assess the benefits resulting from a cleaner environment. We find that pollution abatement has emerged as a major claimant on the resources of the U.S. economy. The cost of emission controls is more than 10% of the total cost of government purchases of goods and services.","container-title":"The RAND Journal of Economics","DOI":"10.2307/2555426","ISSN":"0741-6261","issue":"2","language":"en","note":"publisher: [RAND Corporation, Wiley]","page":"314-340","source":"JSTOR","title":"Environmental Regulation and U.S. Economic Growth","volume":"21","author":[{"family":"Jorgenson","given":"Dale W."},{"family":"Wilcoxen","given":"Peter J."}],"issued":{"date-parts":[["1990"]]}}}],"schema":"https://github.com/citation-style-language/schema/raw/master/csl-citation.json"} </w:instrText>
      </w:r>
      <w:r>
        <w:rPr>
          <w:rFonts w:ascii="Times New Roman" w:hAnsi="Times New Roman" w:cs="Times New Roman Regular"/>
        </w:rPr>
        <w:fldChar w:fldCharType="separate"/>
      </w:r>
      <w:r>
        <w:rPr>
          <w:rFonts w:ascii="Times New Roman" w:hAnsi="Times New Roman" w:cs="Times New Roman Regular"/>
        </w:rPr>
        <w:t>(Jorgenson and Wilcoxen, 1990)</w:t>
      </w:r>
      <w:r>
        <w:rPr>
          <w:rFonts w:ascii="Times New Roman" w:hAnsi="Times New Roman" w:cs="Times New Roman Regular"/>
        </w:rPr>
        <w:fldChar w:fldCharType="end"/>
      </w:r>
      <w:r>
        <w:rPr>
          <w:rFonts w:hint="eastAsia" w:ascii="Times New Roman" w:hAnsi="Times New Roman" w:cs="Times New Roman Regular"/>
        </w:rPr>
        <w:t>,</w:t>
      </w:r>
      <w:r>
        <w:rPr>
          <w:rFonts w:ascii="Times New Roman" w:hAnsi="Times New Roman" w:cs="Times New Roman Regular"/>
        </w:rPr>
        <w:t xml:space="preserve"> capital investments in very costly pollution control technologies </w:t>
      </w:r>
      <w:r>
        <w:rPr>
          <w:rFonts w:ascii="Times New Roman" w:hAnsi="Times New Roman" w:cs="Times New Roman Regular"/>
        </w:rPr>
        <w:fldChar w:fldCharType="begin"/>
      </w:r>
      <w:r>
        <w:rPr>
          <w:rFonts w:ascii="Times New Roman" w:hAnsi="Times New Roman" w:cs="Times New Roman Regular"/>
        </w:rPr>
        <w:instrText xml:space="preserve"> ADDIN ZOTERO_ITEM CSL_CITATION {"citationID":"4TZoXdlU","properties":{"formattedCitation":"(Kagan et al., 2003)","plainCitation":"(Kagan et al., 2003)","noteIndex":0},"citationItems":[{"id":3906,"uris":["http://zotero.org/users/9299646/items/JVWDKFUH"],"itemData":{"id":3906,"type":"article-journal","abstract":"How and to what extent does regulation matter in shaping corporate behavior? How important is it compared to other incentives and mechanisms of social control, and how does it interact with those mechanisms? How might we explain variation in corporate responses to law and other external pressures? This article addresses these questions through an study of environmental performance in 14 pulp and paper manufacturing mills in Australia, New Zealand, British Columbia, and the states of Washington and Georgia in the United States. Over the last three decades, we find tightening regulatory requirements and intensifying political pressures have brought about large improvements and considerable convergence in environmental performance by pulp manufacturers, most of which have gone \"beyond compliance\" in several ways. But regulation does not account for remaining differences in environmental performance across facilities. Rather, \"social license\" pressures (particularly from local communities and environmental activists) and corporate environmental management style prod some firms toward better performance compliance than others. At the same time, economic pressures impose limits on \"beyond performance\" investments. In producing large gains in environmental performance, however, regulation still matters greatly, but less as a system of hierarchically imposed, uniformly enforced rules than as a coordinative mechanism, routinely interacting with market pressures, local and national environmental activists, and the culture of corporate management in generating environmental improvement while narrowing the spread between corporate leaders and laggards.","archive":"Scopus","container-title":"Law and Society Review","DOI":"10.1111/1540-5893.3701002","ISSN":"0023-9216","issue":"1","language":"en","page":"51-90","source":"Scopus","title":"Explaining corporate environmental performance: How does regulation matter?","title-short":"Explaining corporate environmental performance","volume":"37","author":[{"family":"Kagan","given":"R.A."},{"family":"Gunningham","given":"N."},{"family":"Thornton","given":"D."}],"issued":{"date-parts":[["2003"]]}}}],"schema":"https://github.com/citation-style-language/schema/raw/master/csl-citation.json"} </w:instrText>
      </w:r>
      <w:r>
        <w:rPr>
          <w:rFonts w:ascii="Times New Roman" w:hAnsi="Times New Roman" w:cs="Times New Roman Regular"/>
        </w:rPr>
        <w:fldChar w:fldCharType="separate"/>
      </w:r>
      <w:r>
        <w:rPr>
          <w:rFonts w:ascii="Times New Roman" w:hAnsi="Times New Roman" w:cs="Times New Roman Regular"/>
        </w:rPr>
        <w:t>(Kagan et al., 2003)</w:t>
      </w:r>
      <w:r>
        <w:rPr>
          <w:rFonts w:ascii="Times New Roman" w:hAnsi="Times New Roman" w:cs="Times New Roman Regular"/>
        </w:rPr>
        <w:fldChar w:fldCharType="end"/>
      </w:r>
      <w:r>
        <w:rPr>
          <w:rFonts w:ascii="Times New Roman" w:hAnsi="Times New Roman" w:cs="Times New Roman Regular"/>
        </w:rPr>
        <w:t xml:space="preserve">, the purchase of environmentally friendly raw materials, the establishment of environmental management systems, and the reduction of pollutant emissions </w:t>
      </w:r>
      <w:r>
        <w:rPr>
          <w:rFonts w:ascii="Times New Roman" w:hAnsi="Times New Roman" w:cs="Times New Roman Regular"/>
        </w:rPr>
        <w:fldChar w:fldCharType="begin"/>
      </w:r>
      <w:r>
        <w:rPr>
          <w:rFonts w:ascii="Times New Roman" w:hAnsi="Times New Roman" w:cs="Times New Roman Regular"/>
        </w:rPr>
        <w:instrText xml:space="preserve"> ADDIN ZOTERO_ITEM CSL_CITATION {"citationID":"zanFzjvH","properties":{"formattedCitation":"(Liu, 2009)","plainCitation":"(Liu, 2009)","noteIndex":0},"citationItems":[{"id":3296,"uris":["http://zotero.org/users/9299646/items/3MJ72RVE"],"itemData":{"id":3296,"type":"article-journal","abstract":"This research employed a quantitative survey in order to ascertain whether the external environmental pressure on firms was a contributing factor to their environmental behavior. Data was obtained from 321 firms located in the Yangtze River Delta of China using structured questionnaires. The relationship between external environmental pressure on firms and their environmental behavior was tested using LISREL 10.0 through path analysis. The results revealed that external environmental pressure on firms was significantly and positively related to their environmental behavior. The results also indicated that pressure from the governmental regulation was the most important factor on environmental defensive behavior of firms, Furthermore, pressure from markets was the most important factor on their environmental preventive behavior. Lastly, pressure from community and NGOs was the most important factor on their environmental enthusiastic behavior.","container-title":"Journal of Cleaner Production","DOI":"10.1016/j.jclepro.2009.05.010","ISSN":"0959-6526","issue":"16","journalAbbreviation":"Journal of Cleaner Production","language":"en","page":"1480-1486","source":"ScienceDirect","title":"Investigating external environmental pressure on firms and their behavior in Yangtze River Delta of China","volume":"17","author":[{"family":"Liu","given":"Yong"}],"issued":{"date-parts":[["2009",11,1]]}}}],"schema":"https://github.com/citation-style-language/schema/raw/master/csl-citation.json"} </w:instrText>
      </w:r>
      <w:r>
        <w:rPr>
          <w:rFonts w:ascii="Times New Roman" w:hAnsi="Times New Roman" w:cs="Times New Roman Regular"/>
        </w:rPr>
        <w:fldChar w:fldCharType="separate"/>
      </w:r>
      <w:r>
        <w:rPr>
          <w:rFonts w:ascii="Times New Roman" w:hAnsi="Times New Roman" w:cs="Times New Roman Regular"/>
        </w:rPr>
        <w:t>(Liu, 2009)</w:t>
      </w:r>
      <w:r>
        <w:rPr>
          <w:rFonts w:ascii="Times New Roman" w:hAnsi="Times New Roman" w:cs="Times New Roman Regular"/>
        </w:rPr>
        <w:fldChar w:fldCharType="end"/>
      </w:r>
      <w:r>
        <w:rPr>
          <w:rFonts w:ascii="Times New Roman" w:hAnsi="Times New Roman" w:cs="Times New Roman Regular"/>
        </w:rPr>
        <w:t xml:space="preserve">, and stress on environmental management practices </w:t>
      </w:r>
      <w:r>
        <w:rPr>
          <w:rFonts w:ascii="Times New Roman" w:hAnsi="Times New Roman" w:cs="Times New Roman Regular"/>
        </w:rPr>
        <w:fldChar w:fldCharType="begin"/>
      </w:r>
      <w:r>
        <w:rPr>
          <w:rFonts w:ascii="Times New Roman" w:hAnsi="Times New Roman" w:cs="Times New Roman Regular"/>
        </w:rPr>
        <w:instrText xml:space="preserve"> ADDIN ZOTERO_ITEM CSL_CITATION {"citationID":"6sOHeom1","properties":{"formattedCitation":"(Gangadharan, 2006)","plainCitation":"(Gangadharan, 2006)","noteIndex":0},"citationItems":[{"id":3915,"uris":["http://zotero.org/users/9299646/items/IB362LNQ"],"itemData":{"id":3915,"type":"article-journal","abstract":"To date, little empirical evidence exists to help regulators understand why some firms comply even when there is little financial incentive to do so and others continually violate environmental regulations. This paper examines data on compliance with environmental regulations within the manufacturing sector in Mexico. The probability of complying depends, among other factors, on the kind of management practices of the firm and the level of environmental training. Some firms in the manufacturing sector over-comply with regulations. Our results show that providing environmental training to employees in the firm increases the probability of over-compliance. Local community has a positive impact on over-compliance; however, the magnitude of its impact is not as strong as is often suggested in the literature. © 2005 Elsevier B.V. All rights reserved.","archive":"Scopus","container-title":"Ecological Economics","DOI":"10.1016/j.ecolecon.2005.10.023","ISSN":"0921-8009","issue":"4","language":"en","page":"477-486","source":"Scopus","title":"Environmental compliance by firms in the manufacturing sector in Mexico","volume":"59","author":[{"family":"Gangadharan","given":"L."}],"issued":{"date-parts":[["2006"]]}}}],"schema":"https://github.com/citation-style-language/schema/raw/master/csl-citation.json"} </w:instrText>
      </w:r>
      <w:r>
        <w:rPr>
          <w:rFonts w:ascii="Times New Roman" w:hAnsi="Times New Roman" w:cs="Times New Roman Regular"/>
        </w:rPr>
        <w:fldChar w:fldCharType="separate"/>
      </w:r>
      <w:r>
        <w:rPr>
          <w:rFonts w:ascii="Times New Roman" w:hAnsi="Times New Roman" w:cs="Times New Roman Regular"/>
        </w:rPr>
        <w:t>(Gangadharan, 2006)</w:t>
      </w:r>
      <w:r>
        <w:rPr>
          <w:rFonts w:ascii="Times New Roman" w:hAnsi="Times New Roman" w:cs="Times New Roman Regular"/>
        </w:rPr>
        <w:fldChar w:fldCharType="end"/>
      </w:r>
      <w:r>
        <w:rPr>
          <w:rFonts w:ascii="Times New Roman" w:hAnsi="Times New Roman" w:cs="Times New Roman Regular"/>
        </w:rPr>
        <w:t xml:space="preserve">, etc. Market-based regulations, such as government environmental subsidies, are government actions aimed at solving environmental problems and helping companies improve environmental protection equipment, technology, and processes </w:t>
      </w:r>
      <w:r>
        <w:rPr>
          <w:rFonts w:ascii="Times New Roman" w:hAnsi="Times New Roman" w:cs="Times New Roman Regular"/>
        </w:rPr>
        <w:fldChar w:fldCharType="begin"/>
      </w:r>
      <w:r>
        <w:rPr>
          <w:rFonts w:ascii="Times New Roman" w:hAnsi="Times New Roman" w:cs="Times New Roman Regular"/>
        </w:rPr>
        <w:instrText xml:space="preserve"> ADDIN ZOTERO_ITEM CSL_CITATION {"citationID":"4R0x7ZKN","properties":{"formattedCitation":"(Xu et al., 2021)","plainCitation":"(Xu et al., 2021)","noteIndex":0},"citationItems":[{"id":4000,"uris":["http://zotero.org/users/9299646/items/UT6NH6LF"],"itemData":{"id":4000,"type":"article-journal","abstract":"Technological innovations in China's energy conservation and environmental protection industry (EEPI) are capital-intensive and useful to mitigate environmental externality, thus they need policy support and government subsidies (GSs) at the emerging stage. Nevertheless, research is limited on the influence of GSs onto innovation performance of China's EEPI, with particular to the effect of GSs from enterprise level. This study investigated 62 listed energy conservation and environmental protection enterprises (EEPEs) in China's market in 2013–2018. The innovation performance of these enterprises was quantitatively evaluated, and multivariate regression models were devised to examine GSs and other potential drivers that might influence the innovation. Key findings include (1) EEPEs' investment in R&amp;D and protection of intellectual properties played a positive intermediary and regulatory role between GSs and enterprise innovation performance (correlation at the significance level of 0.05 (p = 0.045; p = 0.036)). (2) There is a significant positive correlation at the significance level of 0.05 (p = 0.011), which indicates that the strongest positive relation between GSs and innovation performance was identified in an environment of low external regulation and high internal regulation, and the effects were more significant for non-state-owned EEPEs(correlation at the significance level of 0.05 (p = 0.018)). (3) The promotion of GSs to innovation was found less effective in the three most developed regions in China, i.e., the Yangtze River Delta, the Pearl River Delta, and the Beijing-Tianjin-Hebei Area. Nonetheless it was more effective for enterprise engaged in the circular economy and resource recycling (correlation at a significant level of 0.05 (P = 0.048)). These findings may shed lights on decision making of green technology development for environmental conservation and circular economy.","container-title":"Journal of Environmental Management","DOI":"10.1016/j.jenvman.2021.112385","ISSN":"0301-4797","journalAbbreviation":"Journal of Environmental Management","language":"en","page":"112385","source":"ScienceDirect","title":"Impact of subsidies on innovations of environmental protection and circular economy in China","volume":"289","author":[{"family":"Xu","given":"Xiaofeng"},{"family":"Zhang","given":"Wenyan"},{"family":"Wang","given":"Tao"},{"family":"Xu","given":"Yi"},{"family":"Du","given":"Huanzheng"}],"issued":{"date-parts":[["2021",7,1]]}}}],"schema":"https://github.com/citation-style-language/schema/raw/master/csl-citation.json"} </w:instrText>
      </w:r>
      <w:r>
        <w:rPr>
          <w:rFonts w:ascii="Times New Roman" w:hAnsi="Times New Roman" w:cs="Times New Roman Regular"/>
        </w:rPr>
        <w:fldChar w:fldCharType="separate"/>
      </w:r>
      <w:r>
        <w:rPr>
          <w:rFonts w:ascii="Times New Roman" w:hAnsi="Times New Roman" w:cs="Times New Roman Regular"/>
        </w:rPr>
        <w:t>(Xu et al., 2021)</w:t>
      </w:r>
      <w:r>
        <w:rPr>
          <w:rFonts w:ascii="Times New Roman" w:hAnsi="Times New Roman" w:cs="Times New Roman Regular"/>
        </w:rPr>
        <w:fldChar w:fldCharType="end"/>
      </w:r>
      <w:r>
        <w:rPr>
          <w:rFonts w:ascii="Times New Roman" w:hAnsi="Times New Roman" w:cs="Times New Roman Regular"/>
        </w:rPr>
        <w:t xml:space="preserve">. The forms of environmental subsidies mainly include cash payments, tax incentives and exemptions, government investment in environmental protection, and government loans at preferential interest rates </w:t>
      </w:r>
      <w:r>
        <w:rPr>
          <w:rFonts w:ascii="Times New Roman" w:hAnsi="Times New Roman" w:cs="Times New Roman Regular"/>
        </w:rPr>
        <w:fldChar w:fldCharType="begin"/>
      </w:r>
      <w:r>
        <w:rPr>
          <w:rFonts w:ascii="Times New Roman" w:hAnsi="Times New Roman" w:cs="Times New Roman Regular"/>
        </w:rPr>
        <w:instrText xml:space="preserve"> ADDIN ZOTERO_ITEM CSL_CITATION {"citationID":"cSsUChOK","properties":{"formattedCitation":"(Liu et al., 2020)","plainCitation":"(Liu et al., 2020)","noteIndex":0},"citationItems":[{"id":4004,"uris":["http://zotero.org/users/9299646/items/LE42GI73"],"itemData":{"id":4004,"type":"article-journal","abstract":"With China's tremendous economic development following its reform and opening-up, the problem of environmental deterioration has become increasingly serious. To achieve a win-win situation between economic growth and environmental protection, enterprises are being encouraged to carry out green technology innovation, but due to the risks and uncertainties inherent in it, the government is providing research and development (R&amp;D) subsidies while at the same time implementing environmental regulations. As the Organisation for Economic Cooperation and Development (OECD) [5] divides green technology innovation into green product innovation and green process innovation, this study focuses on the latter in order to better study its relationship with environmental regulations and government subsidies. We select panel data of 30 provinces and cities in China from 2009 to 2017 (excluding Tibet, Hong Kong, Macao, and Taiwan, because of a lack of data) and use the system GMM and threshold-effect model for empirical analysis. The results show that environmental regulations have a U-shape non-linear effect on green process innovation, while government subsidies have a positive role in promoting green process innovation, or the so-called leverage effect. Based on government subsidies, the impact of environmental regulations on green process innovation has a threshold effect, and therefore regulations and subsidies should be increased. In addition, the level of economic development has a U-shape effect of inhibition and then promotion on green process innovation. Overall, the China government should continue to develop its economy, but must not neglect the impact of environmental regulations on technological innovation at the expense of environmental damage.","container-title":"Technology in Society","DOI":"10.1016/j.techsoc.2020.101417","ISSN":"0160-791X","journalAbbreviation":"Technology in Society","language":"en","page":"101417","source":"ScienceDirect","title":"Impacts of government subsidies and environmental regulations on green process innovation: A nonlinear approach","title-short":"Impacts of government subsidies and environmental regulations on green process innovation","volume":"63","author":[{"family":"Liu","given":"Jingjing"},{"family":"Zhao","given":"Min"},{"family":"Wang","given":"Yanbo"}],"issued":{"date-parts":[["2020",11,1]]}}}],"schema":"https://github.com/citation-style-language/schema/raw/master/csl-citation.json"} </w:instrText>
      </w:r>
      <w:r>
        <w:rPr>
          <w:rFonts w:ascii="Times New Roman" w:hAnsi="Times New Roman" w:cs="Times New Roman Regular"/>
        </w:rPr>
        <w:fldChar w:fldCharType="separate"/>
      </w:r>
      <w:r>
        <w:rPr>
          <w:rFonts w:ascii="Times New Roman" w:hAnsi="Times New Roman" w:cs="Times New Roman Regular"/>
        </w:rPr>
        <w:t>(Liu et al., 2020)</w:t>
      </w:r>
      <w:r>
        <w:rPr>
          <w:rFonts w:ascii="Times New Roman" w:hAnsi="Times New Roman" w:cs="Times New Roman Regular"/>
        </w:rPr>
        <w:fldChar w:fldCharType="end"/>
      </w:r>
      <w:r>
        <w:rPr>
          <w:rFonts w:ascii="Times New Roman" w:hAnsi="Times New Roman" w:cs="Times New Roman Regular"/>
        </w:rPr>
        <w:t xml:space="preserve">. From the perspective of mechanism, on the one hand, environmental subsidies can provide monetary support and incentives for environmental technology innovation, and compensate for the cost of upgrading or adopting environmental technology </w:t>
      </w:r>
      <w:r>
        <w:rPr>
          <w:rFonts w:ascii="Times New Roman" w:hAnsi="Times New Roman" w:cs="Times New Roman Regular"/>
        </w:rPr>
        <w:fldChar w:fldCharType="begin"/>
      </w:r>
      <w:r>
        <w:rPr>
          <w:rFonts w:ascii="Times New Roman" w:hAnsi="Times New Roman" w:cs="Times New Roman Regular"/>
        </w:rPr>
        <w:instrText xml:space="preserve"> ADDIN ZOTERO_ITEM CSL_CITATION {"citationID":"OE19HTTo","properties":{"formattedCitation":"(Ren et al., 2021)","plainCitation":"(Ren et al., 2021)","noteIndex":0},"citationItems":[{"id":3392,"uris":["http://zotero.org/users/9299646/items/SLV3F3YF"],"itemData":{"id":3392,"type":"article-journal","abstract":"Although one of the main reasons why governments offer environmental subsidies to firms is to encourage environmental innovation, the effectiveness of such measures is unclear. In this study, we examine the effects of subsidies on firms’ environmental innovation activities (i.e. environmental technology innovations and environmental management innovations). We use fine-grained panel data on Chinese listed manufacturing companies over the period 2011–2015. We find that whilst Chinese government environmental subsidies boost firms’ environmental management innovation significantly, their effect on environmental technology innovations is not statistically significant. We employ an instrumental variable two-stage least squares (IV-2SLS) approach to handle potential selection bias. We find also that there is no statistically significant relationship between firms’ environmental management innovations and environmental technology innovations. These findings hold for a range of robustness tests.","container-title":"Technological Forecasting and Social Change","DOI":"10.1016/j.techfore.2021.121123","ISSN":"0040-1625","journalAbbreviation":"Technological Forecasting and Social Change","language":"en","page":"121123","source":"ScienceDirect","title":"Do environmental subsidies spur environmental innovation? Empirical evidence from Chinese listed firms","title-short":"Do environmental subsidies spur environmental innovation?","volume":"173","author":[{"family":"Ren","given":"Shenggang"},{"family":"Sun","given":"Helin"},{"family":"Zhang","given":"Tao"}],"issued":{"date-parts":[["2021",12,1]]}}}],"schema":"https://github.com/citation-style-language/schema/raw/master/csl-citation.json"} </w:instrText>
      </w:r>
      <w:r>
        <w:rPr>
          <w:rFonts w:ascii="Times New Roman" w:hAnsi="Times New Roman" w:cs="Times New Roman Regular"/>
        </w:rPr>
        <w:fldChar w:fldCharType="separate"/>
      </w:r>
      <w:r>
        <w:rPr>
          <w:rFonts w:ascii="Times New Roman" w:hAnsi="Times New Roman" w:cs="Times New Roman Regular"/>
        </w:rPr>
        <w:t>(Ren et al., 2021)</w:t>
      </w:r>
      <w:r>
        <w:rPr>
          <w:rFonts w:ascii="Times New Roman" w:hAnsi="Times New Roman" w:cs="Times New Roman Regular"/>
        </w:rPr>
        <w:fldChar w:fldCharType="end"/>
      </w:r>
      <w:r>
        <w:rPr>
          <w:rFonts w:ascii="Times New Roman" w:hAnsi="Times New Roman" w:cs="Times New Roman Regular"/>
        </w:rPr>
        <w:t xml:space="preserve">. This is because improving environmental management requires more input and additional costs, and companies are often reluctant to engage in environmental innovation without subsidies </w:t>
      </w:r>
      <w:r>
        <w:rPr>
          <w:rFonts w:ascii="Times New Roman" w:hAnsi="Times New Roman" w:cs="Times New Roman Regular"/>
        </w:rPr>
        <w:fldChar w:fldCharType="begin"/>
      </w:r>
      <w:r>
        <w:rPr>
          <w:rFonts w:ascii="Times New Roman" w:hAnsi="Times New Roman" w:cs="Times New Roman Regular"/>
        </w:rPr>
        <w:instrText xml:space="preserve"> ADDIN ZOTERO_ITEM CSL_CITATION {"citationID":"0DhCbYKV","properties":{"formattedCitation":"(Klette et al., 2000)","plainCitation":"(Klette et al., 2000)","noteIndex":0},"citationItems":[{"id":3920,"uris":["http://zotero.org/users/9299646/items/2LSLBUED"],"itemData":{"id":3920,"type":"article-journal","abstract":"A number of market failures have been associated with R&amp;D investments and significant amounts of public money have been spent on programs to stimulate innovative activities. In this paper, we review some recent microeconometric studies evaluating effects of government-sponsored commercial R&amp;D. We pay particular attention to the conceptual problems involved. Neither the firms receiving support, nor those not applying, constitute random samples. Furthermore, those not receiving support may be affected by the programs due to spillover effects which often are the main justification for R&amp;D subsidies. Constructing a valid control group under these circumstances is challenging, and we relate our discussion to recent advances in econometric methods for evaluation studies based on non-experimental data. We also discuss some analytical questions, beyond these estimation problems, that need to be addressed in order to assess whether R&amp;D support schemes can be justified. For instance, what are the implications of firms' R&amp;D investments being complementary to each other, and to what extent are potential R&amp;D spillovers internalized in the market?","container-title":"Research Policy","DOI":"10.1016/S0048-7333(99)00086-4","ISSN":"0048-7333","issue":"4","journalAbbreviation":"Research Policy","language":"en","page":"471-495","source":"ScienceDirect","title":"Do subsidies to commercial R&amp;D reduce market failures? Microeconometric evaluation studies1We have benefited from comments by Tore Nilssen, John van Reenen and participants at the NBER productivity meeting in December 1998. This project has received partial financial support from the Research Council of Norway.1","title-short":"Do subsidies to commercial R&amp;D reduce market failures?","volume":"29","author":[{"family":"Klette","given":"Tor Jakob"},{"family":"Møen","given":"Jarle"},{"family":"Griliches","given":"Zvi"}],"issued":{"date-parts":[["2000",4,1]]}}}],"schema":"https://github.com/citation-style-language/schema/raw/master/csl-citation.json"} </w:instrText>
      </w:r>
      <w:r>
        <w:rPr>
          <w:rFonts w:ascii="Times New Roman" w:hAnsi="Times New Roman" w:cs="Times New Roman Regular"/>
        </w:rPr>
        <w:fldChar w:fldCharType="separate"/>
      </w:r>
      <w:r>
        <w:rPr>
          <w:rFonts w:ascii="Times New Roman" w:hAnsi="Times New Roman" w:cs="Times New Roman Regular"/>
        </w:rPr>
        <w:t>(Klette et al., 2000)</w:t>
      </w:r>
      <w:r>
        <w:rPr>
          <w:rFonts w:ascii="Times New Roman" w:hAnsi="Times New Roman" w:cs="Times New Roman Regular"/>
        </w:rPr>
        <w:fldChar w:fldCharType="end"/>
      </w:r>
      <w:r>
        <w:rPr>
          <w:rFonts w:ascii="Times New Roman" w:hAnsi="Times New Roman" w:cs="Times New Roman Regular"/>
        </w:rPr>
        <w:t>. On the other hand, the policy stipulates that subsidized projects must comply with national industrial policies and circular economy development, and produce significant environmental, economic and social benefits, which also guides local industries and Enterprises are developing in a cleaner and more environmentally friendly direction (Ren et al., 2021).</w:t>
      </w:r>
    </w:p>
    <w:p>
      <w:pPr>
        <w:spacing w:line="312" w:lineRule="auto"/>
        <w:ind w:firstLine="420"/>
        <w:rPr>
          <w:rFonts w:ascii="Times New Roman" w:hAnsi="Times New Roman"/>
        </w:rPr>
      </w:pPr>
      <w:r>
        <w:rPr>
          <w:rFonts w:ascii="Times New Roman" w:hAnsi="Times New Roman"/>
        </w:rPr>
        <w:t>It can be seen from the above that regulations have played a positive role in the environmental management of enterprises, green technology innovation, industrial upgrading, etc</w:t>
      </w:r>
      <w:r>
        <w:rPr>
          <w:rFonts w:hint="eastAsia" w:ascii="Times New Roman" w:hAnsi="Times New Roman"/>
        </w:rPr>
        <w:t>.</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{"citationID":"TdSQFLYB","properties":{"formattedCitation":"(Cai and Li, 2018; Chan et al., 2016; Wang et al., 2011; Zhang et al., 2009)","plainCitation":"(Cai and Li, 2018; Chan et al., 2016; Wang et al., 2011; Zhang et al., 2009)","noteIndex":0},"citationItems":[{"id":3382,"uris":["http://zotero.org/users/9299646/items/DJ9Y7Q8L"],"itemData":{"id":3382,"type":"article-journal","abstract":"This study sheds light on the driving forces of eco-innovation and the effects on firm performance. We focus on eco-innovation, which provides customer and business value, and contributes to sustainable development while decreasing environmental costs and impacts. The study uses data collected from 442 Chinese firms to investigate the relationship among the drivers, eco-innovation behavior, and firm performance. The results reveal that certain factors (i.e., technological capabilities, environmental organizational capabilities, a market-based instrument, competitive pressures, and customer green demand) contribute to the development of eco-innovation. Competitive pressure provides firms with the greatest incentive to adopt eco-innovation, followed by a market-based instrument, technological capabilities, customer green demand, and environmental organization capabilities. The market-based instrument is effective in inducing eco-innovation, while a command and control instrument does not. With regard to the adoption of eco-innovation, we show that eco-innovation behavior can significantly enhance a firm's environmental performance, and, through environmental performance, has an indirect positive impact on its economic performance. These findings support the “Porter hypothesis,” and have several implications for both policy makers and business managers.","container-title":"Journal of Cleaner Production","DOI":"10.1016/j.jclepro.2017.12.109","ISSN":"0959-6526","journalAbbreviation":"Journal of Cleaner Production","language":"en","page":"110-118","source":"ScienceDirect","title":"The drivers of eco-innovation and its impact on performance: Evidence from China","title-short":"The drivers of eco-innovation and its impact on performance","volume":"176","author":[{"family":"Cai","given":"Wugan"},{"family":"Li","given":"Guangpei"}],"issued":{"date-parts":[["2018",3,1]]}}},{"id":3363,"uris":["http://zotero.org/users/9299646/items/V7JJANFH"],"itemData":{"id":3363,"type":"article-journal","abstract":"Environmental management has been researching extensively in the last two decades. Pressure from environmental regulations or policies plays an important role to boost environmental management practices. Nevertheless, the relationship between such pressure and the ultimate firm performance is not very obvious. Although green product innovation has been recognized as a predictor to improve environment performance, there is a lack of discussion in the literature to examine the mediating effect of green product innovation between the aforementioned pressure and firm performance. Additionally, most previous studies adopted a static view which ignores the implications on external dynamic factors in many empirical studies. In this connection, this study contributes to the field of knowledge by filling these two gaps. More specifically, this study: (i) examines the effect of green product innovation on the relationship between pressure of environmental regulations (or policies) and firm performance; and (ii) evaluates the moderating effect of environmental dynamism on the relationship between green production innovation and firm performance. A questionnaire survey is conducted in an emerging country, China, to verify the hypotheses.","collection-title":"Recent Development Of Sustainable Consumption And Production In Emerging Markets","container-title":"International Journal of Production Economics","DOI":"10.1016/j.ijpe.2015.12.006","ISSN":"0925-5273","journalAbbreviation":"International Journal of Production Economics","language":"en","page":"384-391","source":"ScienceDirect","title":"The moderating effect of environmental dynamism on green product innovation and performance","volume":"181","author":[{"family":"Chan","given":"Hing Kai"},{"family":"Yee","given":"Rachel W. Y."},{"family":"Dai","given":"Jing"},{"family":"Lim","given":"Ming K."}],"issued":{"date-parts":[["2016",11,1]]}}},{"id":3353,"uris":["http://zotero.org/users/9299646/items/3LNHSJWB"],"itemData":{"id":3353,"type":"article-journal","abstract":"There has been much debate on the topic of whether stricter environmental regulations can promote environmental performance and economic performance at the same time. Different researchers have used different indicators to measure environmental performance and economic performance in their empirical studies. However, it is a surprise that few studies have checked the relationship between environmental regulation and eco-efficiency, as the latter is widely regarded as a quite powerful tool of considering ecology and economy together. In this study the background is the implementation in 2003 of the Stricter Discharge Standard (SDS) in Shandong Province’s Pulp and Paper Industry (SPPI), compared to the national standards of China. The stricter regulations were intended to promote corporate change from passive management to active control and from end-of-pipe treatment to cleaner production. This study investigated the eco-efficiency trends of SPPI from 2001 to 2008 in three fields: water efficiency, energy efficiency and environment efficiency. A “de-linking” and “re-linking” tool was used to attain a further evaluation. The study showed that with the implementation of stricter regulation most of the efficiency indicators (except CO2 emission and energy consumption) had achieved significant improvements, and the overall environmental performance trends of SPPI showed it to be more sustainable. However, the study also found that it was not enough to address a single indicator in the environmental regulation of the pulp and paper industry. More holistic eco-efficiency indicators need to be further considered and introduced to the industry as the next step to create true sustainable development.","container-title":"Journal of Cleaner Production","DOI":"10.1016/j.jclepro.2010.11.006","ISSN":"0959-6526","issue":"4","journalAbbreviation":"Journal of Cleaner Production","language":"en","page":"303-310","source":"ScienceDirect","title":"Implementing stricter environmental regulation to enhance eco-efficiency and sustainability: a case study of Shandong Province’s pulp and paper industry, China","title-short":"Implementing stricter environmental regulation to enhance eco-efficiency and sustainability","volume":"19","author":[{"family":"Wang","given":"Yutao"},{"family":"Liu","given":"Jian"},{"family":"Hansson","given":"Lars"},{"family":"Zhang","given":"Kai"},{"family":"Wang","given":"Renqing"}],"issued":{"date-parts":[["2011",3,1]]}}},{"id":3241,"uris":["http://zotero.org/users/9299646/items/E4KUZYW5"],"itemData":{"id":3241,"type":"article-journal","abstract":"Small- and medium-sized enterprises (SMEs) play an important role in sustainable development not only for their significant contribution to China’s economy, but also for their large share of total discharged pollutants. Therefore, this research takes the enterprises in Suzhou Industrial Park, China as the case study to investigate the environmental management practices of SMEs, and identify drivers and barriers to engaging businesses in environmental management initiatives. It is shown that, as in other countries, SMEs are less active in adopting environmental management initiatives than larger companies. Legislation remains the key driver to engage SMEs in environmental management initiatives. Based on the analysis, policy recommendations are also presented.","container-title":"Frontiers of Environmental Science &amp; Engineering in China","DOI":"10.1007/s11783-009-0014-7","ISSN":"1673-7520","issue":"2","journalAbbreviation":"Front. Environ. Sci. Eng. China","language":"en","page":"210-220","source":"Springer Link","title":"Drivers and barriers to engage enterprises in environmental management initiatives in Suzhou Industrial Park, China","volume":"3","author":[{"family":"Zhang","given":"Bing"},{"family":"Bi","given":"Jun"},{"family":"Liu","given":"Beibei"}],"issued":{"date-parts":[["2009",6,1]]}}}],"schema":"https://github.com/citation-style-language/schema/raw/master/csl-citation.json"} </w:instrText>
      </w:r>
      <w:r>
        <w:rPr>
          <w:rFonts w:ascii="Times New Roman" w:hAnsi="Times New Roman"/>
        </w:rPr>
        <w:fldChar w:fldCharType="separate"/>
      </w:r>
      <w:r>
        <w:rPr>
          <w:rFonts w:ascii="Times New Roman" w:hAnsi="Times New Roman"/>
        </w:rPr>
        <w:t>(Cai and Li, 2018; Chan et al., 2016; Wang et al., 2011; Zhang et al., 2009)</w:t>
      </w:r>
      <w:r>
        <w:rPr>
          <w:rFonts w:ascii="Times New Roman" w:hAnsi="Times New Roman"/>
        </w:rPr>
        <w:fldChar w:fldCharType="end"/>
      </w:r>
      <w:r>
        <w:rPr>
          <w:rFonts w:ascii="Times New Roman" w:hAnsi="Times New Roman"/>
        </w:rPr>
        <w:t>. However, regulations also have some disadvantages. G</w:t>
      </w:r>
      <w:r>
        <w:rPr>
          <w:rFonts w:hint="eastAsia" w:ascii="Times New Roman" w:hAnsi="Times New Roman"/>
        </w:rPr>
        <w:t>e</w:t>
      </w:r>
      <w:r>
        <w:rPr>
          <w:rFonts w:ascii="Times New Roman" w:hAnsi="Times New Roman"/>
        </w:rPr>
        <w:t xml:space="preserve">nerally, command-and-control environmental regulation mainly relies on administrative intervention and requires a large amount of government resources, while market-incentive environmental regulation mainly relies on market mechanisms and requires the government to establish and regulate the market. Taking environmental subsidy policy as an example, </w:t>
      </w:r>
      <w:r>
        <w:rPr>
          <w:rFonts w:hint="eastAsia" w:ascii="Times New Roman" w:hAnsi="Times New Roman"/>
        </w:rPr>
        <w:t>w</w:t>
      </w:r>
      <w:r>
        <w:rPr>
          <w:rFonts w:ascii="Times New Roman" w:hAnsi="Times New Roman"/>
        </w:rPr>
        <w:t xml:space="preserve">hen the market mechanism is immature </w:t>
      </w:r>
      <w:r>
        <w:rPr>
          <w:rFonts w:hint="eastAsia" w:ascii="Times New Roman" w:hAnsi="Times New Roman"/>
        </w:rPr>
        <w:t>o</w:t>
      </w:r>
      <w:r>
        <w:rPr>
          <w:rFonts w:ascii="Times New Roman" w:hAnsi="Times New Roman"/>
        </w:rPr>
        <w:t xml:space="preserve">r imperfect, it may lead to information asymmetry and ineffective market regulation </w:t>
      </w:r>
      <w:r>
        <w:rPr>
          <w:rFonts w:ascii="Times New Roman" w:hAnsi="Times New Roman"/>
        </w:rPr>
        <w:fldChar w:fldCharType="begin"/>
      </w:r>
      <w:r>
        <w:rPr>
          <w:rFonts w:ascii="Times New Roman" w:hAnsi="Times New Roman"/>
        </w:rPr>
        <w:instrText xml:space="preserve"> ADDIN ZOTERO_ITEM CSL_CITATION {"citationID":"k7xyfDlJ","properties":{"formattedCitation":"(Besharov and Smith, 2014)","plainCitation":"(Besharov and Smith, 2014)","noteIndex":0},"citationItems":[{"id":3923,"uris":["http://zotero.org/users/9299646/items/7XJ77I7Y"],"itemData":{"id":3923,"type":"article-journal","abstract":"Multiple institutional logics present a theoretical puzzle. While scholars recognize their increasing prevalence within organizations, research offers conflicting perspectives on their implications, causing confusion and inhibiting deeper understanding. In response, we propose a framework that delineates types of logic multiplicity within organizations, and we link these types with different outcomes. Our framework categorizes organizations in terms of logic compatibility and logic centrality and explains how field, organizational, and individual factors influence these two dimensions. We illustrate the value of our framework by showing how it helps explain the varied implications of logic multiplicity for internal conflict. By providing insight into the nature and implications of logic multiplicity within organizations, our framework and analysis synthesize the extant literature, offer conceptual clarity, and focus future research.","container-title":"Academy of Management Review","DOI":"10.5465/amr.2011.0431","ISSN":"0363-7425","issue":"3","journalAbbreviation":"AMR","language":"en","note":"publisher: Academy of Management","page":"364-381","source":"journals.aom.org (Atypon)","title":"Multiple Institutional Logics in Organizations: Explaining Their Varied Nature and Implications","title-short":"Multiple Institutional Logics in Organizations","volume":"39","author":[{"family":"Besharov","given":"Marya L."},{"family":"Smith","given":"Wendy K."}],"issued":{"date-parts":[["2014",7]]}}}],"schema":"https://github.com/citation-style-language/schema/raw/master/csl-citation.json"} </w:instrText>
      </w:r>
      <w:r>
        <w:rPr>
          <w:rFonts w:ascii="Times New Roman" w:hAnsi="Times New Roman"/>
        </w:rPr>
        <w:fldChar w:fldCharType="separate"/>
      </w:r>
      <w:r>
        <w:rPr>
          <w:rFonts w:ascii="Times New Roman" w:hAnsi="Times New Roman"/>
        </w:rPr>
        <w:t>(Besharov and Smith, 2014)</w:t>
      </w:r>
      <w:r>
        <w:rPr>
          <w:rFonts w:ascii="Times New Roman" w:hAnsi="Times New Roman"/>
        </w:rPr>
        <w:fldChar w:fldCharType="end"/>
      </w:r>
      <w:r>
        <w:rPr>
          <w:rFonts w:ascii="Times New Roman" w:hAnsi="Times New Roman"/>
        </w:rPr>
        <w:t>. Specifically, when the government lacks accurate information about corporate environmental activities, it may lead to</w:t>
      </w:r>
      <w:r>
        <w:rPr>
          <w:rFonts w:hint="eastAsia" w:ascii="Times New Roman" w:hAnsi="Times New Roman"/>
          <w:lang w:val="en-US" w:eastAsia="zh-CN"/>
        </w:rPr>
        <w:t xml:space="preserve"> the</w:t>
      </w:r>
      <w:r>
        <w:rPr>
          <w:rFonts w:ascii="Times New Roman" w:hAnsi="Times New Roman"/>
        </w:rPr>
        <w:t xml:space="preserve"> misallocation of environmental subsidy funds; another situation is that some subsidized firms may use the money for non-environmental technological innovation activities due to weak market regulation. Moreover, with the continuous deepening of supervision, the pressure on enterprises is also increasing. First, more frequent auditing and inspection by governments, and second loss of environmental legitimacy among non-government stakeholders </w:t>
      </w:r>
      <w:r>
        <w:rPr>
          <w:rFonts w:ascii="Times New Roman" w:hAnsi="Times New Roman"/>
        </w:rPr>
        <w:fldChar w:fldCharType="begin"/>
      </w:r>
      <w:r>
        <w:rPr>
          <w:rFonts w:ascii="Times New Roman" w:hAnsi="Times New Roman"/>
        </w:rPr>
        <w:instrText xml:space="preserve"> ADDIN ZOTERO_ITEM CSL_CITATION {"citationID":"Yk807eYp","properties":{"formattedCitation":"(Ren et al., 2021)","plainCitation":"(Ren et al., 2021)","noteIndex":0},"citationItems":[{"id":3392,"uris":["http://zotero.org/users/9299646/items/SLV3F3YF"],"itemData":{"id":3392,"type":"article-journal","abstract":"Although one of the main reasons why governments offer environmental subsidies to firms is to encourage environmental innovation, the effectiveness of such measures is unclear. In this study, we examine the effects of subsidies on firms’ environmental innovation activities (i.e. environmental technology innovations and environmental management innovations). We use fine-grained panel data on Chinese listed manufacturing companies over the period 2011–2015. We find that whilst Chinese government environmental subsidies boost firms’ environmental management innovation significantly, their effect on environmental technology innovations is not statistically significant. We employ an instrumental variable two-stage least squares (IV-2SLS) approach to handle potential selection bias. We find also that there is no statistically significant relationship between firms’ environmental management innovations and environmental technology innovations. These findings hold for a range of robustness tests.","container-title":"Technological Forecasting and Social Change","DOI":"10.1016/j.techfore.2021.121123","ISSN":"0040-1625","journalAbbreviation":"Technological Forecasting and Social Change","language":"en","page":"121123","source":"ScienceDirect","title":"Do environmental subsidies spur environmental innovation? Empirical evidence from Chinese listed firms","title-short":"Do environmental subsidies spur environmental innovation?","volume":"173","author":[{"family":"Ren","given":"Shenggang"},{"family":"Sun","given":"Helin"},{"family":"Zhang","given":"Tao"}],"issued":{"date-parts":[["2021",12,1]]}}}],"schema":"https://github.com/citation-style-language/schema/raw/master/csl-citation.json"} </w:instrText>
      </w:r>
      <w:r>
        <w:rPr>
          <w:rFonts w:ascii="Times New Roman" w:hAnsi="Times New Roman"/>
        </w:rPr>
        <w:fldChar w:fldCharType="separate"/>
      </w:r>
      <w:r>
        <w:rPr>
          <w:rFonts w:ascii="Times New Roman" w:hAnsi="Times New Roman"/>
        </w:rPr>
        <w:t>(Ren et al., 2021)</w:t>
      </w:r>
      <w:r>
        <w:rPr>
          <w:rFonts w:ascii="Times New Roman" w:hAnsi="Times New Roman"/>
        </w:rPr>
        <w:fldChar w:fldCharType="end"/>
      </w:r>
      <w:r>
        <w:rPr>
          <w:rFonts w:ascii="Times New Roman" w:hAnsi="Times New Roman"/>
        </w:rPr>
        <w:t>. H</w:t>
      </w:r>
      <w:r>
        <w:rPr>
          <w:rFonts w:hint="eastAsia" w:ascii="Times New Roman" w:hAnsi="Times New Roman"/>
        </w:rPr>
        <w:t>ence</w:t>
      </w:r>
      <w:r>
        <w:rPr>
          <w:rFonts w:ascii="Times New Roman" w:hAnsi="Times New Roman"/>
        </w:rPr>
        <w:t xml:space="preserve">, to alleviate these pressures, some companies tend to engage in low-cost, less time-consuming innovations, such as applying for ISO14001 environmental management certification. Environmental management system certification mainly relies on the strength of third-party certification agencies </w:t>
      </w:r>
      <w:r>
        <w:rPr>
          <w:rFonts w:ascii="Times New Roman" w:hAnsi="Times New Roman"/>
        </w:rPr>
        <w:fldChar w:fldCharType="begin"/>
      </w:r>
      <w:r>
        <w:rPr>
          <w:rFonts w:ascii="Times New Roman" w:hAnsi="Times New Roman"/>
        </w:rPr>
        <w:instrText xml:space="preserve"> ADDIN ZOTERO_ITEM CSL_CITATION {"citationID":"KUZmbyif","properties":{"formattedCitation":"(Yang and Yao, 2012)","plainCitation":"(Yang and Yao, 2012)","noteIndex":0},"citationItems":[{"id":3344,"uris":["http://zotero.org/users/9299646/items/XXM8PMCT"],"itemData":{"id":3344,"type":"article-journal","abstract":"This article evaluates the impact of environmental compliance on firms’ innovation and financial performance using a panel dataset of Chinese firms for the period of 2000–5. Our results show certification of the ISO14000 has a significantly positive impact on firms’ profitability. This finding is robust when we take into account possible endogeneity of certification, effects of export and types of customers, and possible precertification time trends. In addition, we find that certified firms have larger per-worker sales volumes and market shares in the country, which suggests an alternative mechanism for the Porter hypothesis in the context of a developing economy.","container-title":"Oxford Bulletin of Economics and Statistics","DOI":"10.1111/j.1468-0084.2011.00649.x","ISSN":"1468-0084","issue":"3","language":"en","note":"_eprint: https://onlinelibrary.wiley.com/doi/pdf/10.1111/j.1468-0084.2011.00649.x","page":"397-424","source":"Wiley Online Library","title":"Environmental Compliance and Firm Performance: Evidence from China*","title-short":"Environmental Compliance and Firm Performance","volume":"74","author":[{"family":"Yang","given":"Xi"},{"family":"Yao","given":"Yang"}],"issued":{"date-parts":[["2012"]]}}}],"schema":"https://github.com/citation-style-language/schema/raw/master/csl-citation.json"} </w:instrText>
      </w:r>
      <w:r>
        <w:rPr>
          <w:rFonts w:ascii="Times New Roman" w:hAnsi="Times New Roman"/>
        </w:rPr>
        <w:fldChar w:fldCharType="separate"/>
      </w:r>
      <w:r>
        <w:rPr>
          <w:rFonts w:ascii="Times New Roman" w:hAnsi="Times New Roman"/>
        </w:rPr>
        <w:t>(Yang and Yao, 2012)</w:t>
      </w:r>
      <w:r>
        <w:rPr>
          <w:rFonts w:ascii="Times New Roman" w:hAnsi="Times New Roman"/>
        </w:rPr>
        <w:fldChar w:fldCharType="end"/>
      </w:r>
      <w:r>
        <w:rPr>
          <w:rFonts w:ascii="Times New Roman" w:hAnsi="Times New Roman"/>
        </w:rPr>
        <w:t>, so the supervision cost of environmental management system certification is relatively low. M</w:t>
      </w:r>
      <w:r>
        <w:rPr>
          <w:rFonts w:hint="eastAsia" w:ascii="Times New Roman" w:hAnsi="Times New Roman"/>
        </w:rPr>
        <w:t>ean</w:t>
      </w:r>
      <w:r>
        <w:rPr>
          <w:rFonts w:ascii="Times New Roman" w:hAnsi="Times New Roman"/>
        </w:rPr>
        <w:t xml:space="preserve">while, the expected goal of environmental management system certification even exceeds the requirements of current environmental laws and regulations, so the environmental benefits are relatively higher </w:t>
      </w:r>
      <w:r>
        <w:rPr>
          <w:rFonts w:ascii="Times New Roman" w:hAnsi="Times New Roman"/>
        </w:rPr>
        <w:fldChar w:fldCharType="begin"/>
      </w:r>
      <w:r>
        <w:rPr>
          <w:rFonts w:ascii="Times New Roman" w:hAnsi="Times New Roman"/>
        </w:rPr>
        <w:instrText xml:space="preserve"> ADDIN ZOTERO_ITEM CSL_CITATION {"citationID":"BzwP8Dpl","properties":{"formattedCitation":"(Bu et al., 2020)","plainCitation":"(Bu et al., 2020)","noteIndex":0},"citationItems":[{"id":3325,"uris":["http://zotero.org/users/9299646/items/N9RFIS8S"],"itemData":{"id":3325,"type":"article-journal","abstract":"Porter Hypothesis has evoked almost three-decade debate on whether environmental regulation can stimulate firm innovation. However, one missing component in this long stream of literature is the absence of voluntary environmental regulation when defining environmental regulation policy in the first place. We address this gap by examining the impact of the voluntary environmental certification of ISO 14000 on firm innovation. Adopting firm-level survey data, our results show that ISO 14000 certification leads to more innovation input and output in sampled Chinese firms. Therefore, our study sheds light to the debate on Porter Hypothesis and contributes to green innovation literature.","container-title":"Economic Modelling","DOI":"10.1016/j.econmod.2019.12.020","ISSN":"0264-9993","journalAbbreviation":"Economic Modelling","language":"en","page":"10-18","source":"ScienceDirect","title":"Voluntary environmental regulation and firm innovation in China","volume":"89","author":[{"family":"Bu","given":"Maoliang"},{"family":"Qiao","given":"Zhenzi"},{"family":"Liu","given":"Beibei"}],"issued":{"date-parts":[["2020",7,1]]}}}],"schema":"https://github.com/citation-style-language/schema/raw/master/csl-citation.json"} </w:instrText>
      </w:r>
      <w:r>
        <w:rPr>
          <w:rFonts w:ascii="Times New Roman" w:hAnsi="Times New Roman"/>
        </w:rPr>
        <w:fldChar w:fldCharType="separate"/>
      </w:r>
      <w:r>
        <w:rPr>
          <w:rFonts w:ascii="Times New Roman" w:hAnsi="Times New Roman"/>
        </w:rPr>
        <w:t>(Bu et al., 2020)</w:t>
      </w:r>
      <w:r>
        <w:rPr>
          <w:rFonts w:ascii="Times New Roman" w:hAnsi="Times New Roman"/>
        </w:rPr>
        <w:fldChar w:fldCharType="end"/>
      </w:r>
      <w:r>
        <w:rPr>
          <w:rFonts w:ascii="Times New Roman" w:hAnsi="Times New Roman"/>
        </w:rPr>
        <w:t>.</w:t>
      </w:r>
      <w:r>
        <w:t xml:space="preserve"> </w:t>
      </w:r>
      <w:r>
        <w:rPr>
          <w:rFonts w:ascii="Times New Roman" w:hAnsi="Times New Roman"/>
        </w:rPr>
        <w:t xml:space="preserve">For enterprises, environmental management system certification can not only effectively monitor enterprises, but also alleviate information asymmetry. </w:t>
      </w:r>
    </w:p>
    <w:p>
      <w:pPr>
        <w:spacing w:before="156" w:beforeLines="50" w:line="312" w:lineRule="auto"/>
        <w:ind w:firstLine="420"/>
        <w:rPr>
          <w:rFonts w:ascii="Times New Roman" w:hAnsi="Times New Roman" w:cs="Times New Roman Regular"/>
          <w:b/>
          <w:bCs/>
          <w:sz w:val="22"/>
          <w:szCs w:val="28"/>
        </w:rPr>
      </w:pPr>
      <w:r>
        <w:rPr>
          <w:rFonts w:hint="eastAsia" w:ascii="Times New Roman" w:hAnsi="Times New Roman" w:cs="Times New Roman Regular"/>
          <w:b/>
          <w:bCs/>
          <w:sz w:val="22"/>
          <w:szCs w:val="28"/>
        </w:rPr>
        <w:t>2 Market pressure</w:t>
      </w:r>
    </w:p>
    <w:p>
      <w:pPr>
        <w:spacing w:line="312" w:lineRule="auto"/>
        <w:ind w:firstLine="420"/>
        <w:rPr>
          <w:rFonts w:ascii="Times New Roman" w:hAnsi="Times New Roman"/>
        </w:rPr>
      </w:pPr>
      <w:r>
        <w:rPr>
          <w:rFonts w:ascii="Times New Roman" w:hAnsi="Times New Roman"/>
        </w:rPr>
        <w:t xml:space="preserve">Market pressure is also an important factor affecting corporate environmental behavior and driving </w:t>
      </w:r>
      <w:r>
        <w:rPr>
          <w:rFonts w:hint="eastAsia" w:ascii="Times New Roman" w:hAnsi="Times New Roman"/>
        </w:rPr>
        <w:t>fir</w:t>
      </w:r>
      <w:r>
        <w:rPr>
          <w:rFonts w:ascii="Times New Roman" w:hAnsi="Times New Roman"/>
        </w:rPr>
        <w:t xml:space="preserve">ms to improve environmental management </w:t>
      </w:r>
      <w:r>
        <w:rPr>
          <w:rFonts w:ascii="Times New Roman" w:hAnsi="Times New Roman"/>
        </w:rPr>
        <w:fldChar w:fldCharType="begin"/>
      </w:r>
      <w:r>
        <w:rPr>
          <w:rFonts w:ascii="Times New Roman" w:hAnsi="Times New Roman"/>
        </w:rPr>
        <w:instrText xml:space="preserve"> ADDIN ZOTERO_ITEM CSL_CITATION {"citationID":"tTNC2hxP","properties":{"formattedCitation":"(Liu, 2009)","plainCitation":"(Liu, 2009)","noteIndex":0},"citationItems":[{"id":3296,"uris":["http://zotero.org/users/9299646/items/3MJ72RVE"],"itemData":{"id":3296,"type":"article-journal","abstract":"This research employed a quantitative survey in order to ascertain whether the external environmental pressure on firms was a contributing factor to their environmental behavior. Data was obtained from 321 firms located in the Yangtze River Delta of China using structured questionnaires. The relationship between external environmental pressure on firms and their environmental behavior was tested using LISREL 10.0 through path analysis. The results revealed that external environmental pressure on firms was significantly and positively related to their environmental behavior. The results also indicated that pressure from the governmental regulation was the most important factor on environmental defensive behavior of firms, Furthermore, pressure from markets was the most important factor on their environmental preventive behavior. Lastly, pressure from community and NGOs was the most important factor on their environmental enthusiastic behavior.","container-title":"Journal of Cleaner Production","DOI":"10.1016/j.jclepro.2009.05.010","ISSN":"0959-6526","issue":"16","journalAbbreviation":"Journal of Cleaner Production","language":"en","page":"1480-1486","source":"ScienceDirect","title":"Investigating external environmental pressure on firms and their behavior in Yangtze River Delta of China","volume":"17","author":[{"family":"Liu","given":"Yong"}],"issued":{"date-parts":[["2009",11,1]]}}}],"schema":"https://github.com/citation-style-language/schema/raw/master/csl-citation.json"} </w:instrText>
      </w:r>
      <w:r>
        <w:rPr>
          <w:rFonts w:ascii="Times New Roman" w:hAnsi="Times New Roman"/>
        </w:rPr>
        <w:fldChar w:fldCharType="separate"/>
      </w:r>
      <w:r>
        <w:rPr>
          <w:rFonts w:ascii="Times New Roman" w:hAnsi="Times New Roman"/>
        </w:rPr>
        <w:t>(Liu, 2009)</w:t>
      </w:r>
      <w:r>
        <w:rPr>
          <w:rFonts w:ascii="Times New Roman" w:hAnsi="Times New Roman"/>
        </w:rPr>
        <w:fldChar w:fldCharType="end"/>
      </w:r>
      <w:r>
        <w:rPr>
          <w:rFonts w:ascii="Times New Roman" w:hAnsi="Times New Roman"/>
        </w:rPr>
        <w:t xml:space="preserve">. Its </w:t>
      </w:r>
      <w:r>
        <w:rPr>
          <w:rFonts w:hint="eastAsia" w:ascii="Times New Roman" w:hAnsi="Times New Roman"/>
        </w:rPr>
        <w:t>main</w:t>
      </w:r>
      <w:r>
        <w:rPr>
          <w:rFonts w:ascii="Times New Roman" w:hAnsi="Times New Roman"/>
        </w:rPr>
        <w:t xml:space="preserve"> stakeholders include consumers, suppliers, competitors, investors, and multinational companies. Many studies have shown that market demand is a great force in creating a company's environmental performance </w:t>
      </w:r>
      <w:r>
        <w:rPr>
          <w:rFonts w:ascii="Times New Roman" w:hAnsi="Times New Roman"/>
        </w:rPr>
        <w:fldChar w:fldCharType="begin"/>
      </w:r>
      <w:r>
        <w:rPr>
          <w:rFonts w:ascii="Times New Roman" w:hAnsi="Times New Roman"/>
        </w:rPr>
        <w:instrText xml:space="preserve"> ADDIN ZOTERO_ITEM CSL_CITATION {"citationID":"97WdjDcA","properties":{"formattedCitation":"(Zhu et al., 2007)","plainCitation":"(Zhu et al., 2007)","noteIndex":0},"citationItems":[{"id":4008,"uris":["http://zotero.org/users/9299646/items/Q2Y8RNAB"],"itemData":{"id":4008,"type":"article-journal","abstract":"Increasing pressures from a variety of directions have caused the Chinese automobile supply chain managers to consider and initiate implementation of green supply chain management (GSCM) practices to improve both their economic and environmental performance. Expanding on some earlier work investigating general GSCM practices in China, this paper explores the GSCM pressures/drivers (motivators), initiatives and performance of the automotive supply chain using an empirical analysis of 89 automotive enterprises within China. The results show that the Chinese automobile supply chain enterprises have experienced high and increasing regulatory and market pressures and at the same time have strong internal drivers for GSCM practice adoption. However, their GSCM implementation, especially with consideration of external relationships, is poor. Therefore, GSCM implementation has only slightly improved environmental and operational performance, and has not resulted in significant economic performance improvement. In furthering this analysis we investigate one specific organization in this supply chain, the Dalian Diesel Engine Plant, and how this pioneering company has addressed the issues identified by the broader empirical analysis.","collection-title":"The Automobile Industry &amp; Sustainability","container-title":"Journal of Cleaner Production","DOI":"10.1016/j.jclepro.2006.05.021","ISSN":"0959-6526","issue":"11","journalAbbreviation":"Journal of Cleaner Production","language":"en","page":"1041-1052","source":"ScienceDirect","title":"Green supply chain management: pressures, practices and performance within the Chinese automobile industry","title-short":"Green supply chain management","volume":"15","author":[{"family":"Zhu","given":"Qinghua"},{"family":"Sarkis","given":"Joseph"},{"family":"Lai","given":"Kee-hung"}],"issued":{"date-parts":[["2007",1,1]]}}}],"schema":"https://github.com/citation-style-language/schema/raw/master/csl-citation.json"} </w:instrText>
      </w:r>
      <w:r>
        <w:rPr>
          <w:rFonts w:ascii="Times New Roman" w:hAnsi="Times New Roman"/>
        </w:rPr>
        <w:fldChar w:fldCharType="separate"/>
      </w:r>
      <w:r>
        <w:rPr>
          <w:rFonts w:ascii="Times New Roman" w:hAnsi="Times New Roman"/>
        </w:rPr>
        <w:t>(Zhu et al., 2007)</w:t>
      </w:r>
      <w:r>
        <w:rPr>
          <w:rFonts w:ascii="Times New Roman" w:hAnsi="Times New Roman"/>
        </w:rPr>
        <w:fldChar w:fldCharType="end"/>
      </w:r>
      <w:r>
        <w:rPr>
          <w:rFonts w:ascii="Times New Roman" w:hAnsi="Times New Roman"/>
        </w:rPr>
        <w:t xml:space="preserve">. Consumers’ increasing environmental awareness makes them more inclined to choose environmentally friendly products and avoid using products from companies that are known to be heavy polluters </w:t>
      </w:r>
      <w:r>
        <w:rPr>
          <w:rFonts w:ascii="Times New Roman" w:hAnsi="Times New Roman"/>
        </w:rPr>
        <w:fldChar w:fldCharType="begin"/>
      </w:r>
      <w:r>
        <w:rPr>
          <w:rFonts w:ascii="Times New Roman" w:hAnsi="Times New Roman"/>
        </w:rPr>
        <w:instrText xml:space="preserve"> ADDIN ZOTERO_ITEM CSL_CITATION {"citationID":"FOX65mKI","properties":{"formattedCitation":"(Wang et al., 2004; Zhang et al., 2008)","plainCitation":"(Wang et al., 2004; Zhang et al., 2008)","noteIndex":0},"citationItems":[{"id":3310,"uris":["http://zotero.org/users/9299646/items/BTBJAK9U"],"itemData":{"id":3310,"type":"article-journal","abstract":"In this paper we describe a new incentive-based pollution control program in China, in which the environmental performance of firms is rated from best to worst using five colors—green, blue, yellow, red and black—and the ratings are disseminated to the public through the media. We focus on the first two municipal disclosure programs, which have been implemented at very different levels of economic and institutional development. In both cases, the increases in compliance with pollution regulations have been similar to increases produced by public disclosure programs in Indonesia, the Philippines, and Vietnam. The results suggest that incentives created by public disclosure may significantly reduce pollution in China, even though environmental NGO's play little role and there is no formal channel for public participation in environmental regulation.","container-title":"Journal of Environmental Management","DOI":"10.1016/j.jenvman.2004.01.007","ISSN":"0301-4797","issue":"2","journalAbbreviation":"Journal of Environmental Management","language":"en","page":"123-133","source":"ScienceDirect","title":"Environmental performance rating and disclosure: China's Green Watch program","title-short":"Environmental performance rating and disclosure","volume":"71","author":[{"family":"Wang","given":"Hua"},{"family":"Bi","given":"Jun"},{"family":"Wheeler","given":"David"},{"family":"Wang","given":"Jinnan"},{"family":"Cao","given":"Dong"},{"family":"Lu","given":"Genfa"},{"family":"Wang","given":"Yuan"}],"issued":{"date-parts":[["2004",6,1]]}}},{"id":3228,"uris":["http://zotero.org/users/9299646/items/BFRXPNQ6"],"itemData":{"id":3228,"type":"article-journal","abstract":"There are increasing pressures being put on firms, from a number of different sources, such as governmental regulation, community participation and market demand, to engage firms in environmental initiatives. These factors play different roles at various development periods. Government regulation was the major pressure, initially. However, community participation and market demand have become more and more important. Thus a better understanding of the determinant factors that play a role in engaging firms to take environmental management initiatives may help policy makers develop more effective environmental policies. Using data collected from 89 firms in Wujin county of Jiangsu Province, China, this paper developed an index system to evaluate the corporate environmental management performance. Furthermore, we used econometric methodology to identify the main factors that probably shape corporate environmental management performance, including both external pressures and firm characteristics. The results showed that pressures from supply chain, customers, and communities played positive roles in engaging firms to improve environmental management performance. However, the pressure from the regulatory system did not implicate positive effect on environmental management performance when basic compliance is not an issue in the region anymore. The results also showed that firms with larger scale will be more active in engaging in environmental management initiatives. Finally, our results suggest that: (a) regulation's stimulation may be reduced as long as firms have complied with requirements of local environmental standards and other environmental laws; (b) policy makers should pay more attention to market and information instruments; (c) more financial and technical support should be provided to encourage small- and medium-sized enterprises (SMEs) to improve environmental performance.","container-title":"Journal of Cleaner Production","DOI":"10.1016/j.jclepro.2007.06.016","ISSN":"0959-6526","issue":"10","journalAbbreviation":"Journal of Cleaner Production","language":"en","page":"1036-1045","source":"ScienceDirect","title":"Why do firms engage in environmental management? An empirical study in China","title-short":"Why do firms engage in environmental management?","volume":"16","author":[{"family":"Zhang","given":"Bing"},{"family":"Bi","given":"Jun"},{"family":"Yuan","given":"Zengwei"},{"family":"Ge","given":"Junjie"},{"family":"Liu","given":"Beibei"},{"family":"Bu","given":"Maoliang"}],"issued":{"date-parts":[["2008",7,1]]}}}],"schema":"https://github.com/citation-style-language/schema/raw/master/csl-citation.json"} </w:instrText>
      </w:r>
      <w:r>
        <w:rPr>
          <w:rFonts w:ascii="Times New Roman" w:hAnsi="Times New Roman"/>
        </w:rPr>
        <w:fldChar w:fldCharType="separate"/>
      </w:r>
      <w:r>
        <w:rPr>
          <w:rFonts w:ascii="Times New Roman" w:hAnsi="Times New Roman"/>
        </w:rPr>
        <w:t>(Wang et al., 2004; Zhang et al., 2008)</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{"citationID":"Z89GKhQr","properties":{"formattedCitation":"(Kammerer, 2009)","plainCitation":"(Kammerer, 2009)","dontUpdate":true,"noteIndex":0},"citationItems":[{"id":3931,"uris":["http://zotero.org/users/9299646/items/JUBHDMXC"],"itemData":{"id":3931,"type":"article-journal","abstract":"Environmental product (EP) innovations and their determinants have received increasing attention from researchers during the past years. So far, empirical studies have shown inconsistent results, especially regarding the impact of regulation. In this paper, I seek to advance the understanding of EP-innovation by introducing and testing a novel research framework. First, a novel unit of analysis, the environmental issue level, is applied. EP-innovation is not studied in broad terms but specifically for four environmental issues that are relevant to the electrical and electronic appliances industry: energy efficiency, toxic substances, material efficiency, and electromagnetic fields. Second, the customer benefit, a concept from the green marketing literature, is included as an explanatory variable for EP-innovation for the first time. The argument is that green products which besides their public benefits have private environmental benefits for the customer (e.g., energy savings) will generate stronger consumer demand and can thus constitute the firm's motivation to implement those innovations in the first place. Third, EP-innovation is observed more comprehensively, measuring its extent and level of novelty. I apply this research framework to study EP-innovations of German manufacturers of electrical and electronic appliances. My results support the issue level as unit of analysis. The impact of customer benefit and regulation on EP-innovation is analyzed with logit regression and the results clearly show that both customer benefit and regulation play a key role for EP-innovation. They not only foster the implementation of EP-innovations but also their broad application and their level of novelty. © 2009 Elsevier B.V. All rights reserved.","archive":"Scopus","container-title":"Ecological Economics","DOI":"10.1016/j.ecolecon.2009.02.016","ISSN":"0921-8009","issue":"8-9","language":"en","page":"2285-2295","source":"Scopus","title":"The effects of customer benefit and regulation on environmental product innovation. Empirical evidence from appliance manufacturers in Germany","volume":"68","author":[{"family":"Kammerer","given":"D."}],"issued":{"date-parts":[["2009"]]}}}],"schema":"https://github.com/citation-style-language/schema/raw/master/csl-citation.json"} </w:instrText>
      </w:r>
      <w:r>
        <w:rPr>
          <w:rFonts w:ascii="Times New Roman" w:hAnsi="Times New Roman"/>
        </w:rPr>
        <w:fldChar w:fldCharType="separate"/>
      </w:r>
      <w:r>
        <w:rPr>
          <w:rFonts w:ascii="Times New Roman" w:hAnsi="Times New Roman"/>
        </w:rPr>
        <w:t>Kammerer (2009)</w:t>
      </w:r>
      <w:r>
        <w:rPr>
          <w:rFonts w:ascii="Times New Roman" w:hAnsi="Times New Roman"/>
        </w:rPr>
        <w:fldChar w:fldCharType="end"/>
      </w:r>
      <w:r>
        <w:rPr>
          <w:rFonts w:ascii="Times New Roman" w:hAnsi="Times New Roman"/>
        </w:rPr>
        <w:t xml:space="preserve"> found empirical evidence that customers’ benefits play key roles in green innovation as soon as delivered products add value to the customer. Consumers have started to pressure firms to improve their environmental performance by paying a premium or boycotting firms </w:t>
      </w:r>
      <w:r>
        <w:rPr>
          <w:rFonts w:ascii="Times New Roman" w:hAnsi="Times New Roman"/>
        </w:rPr>
        <w:fldChar w:fldCharType="begin"/>
      </w:r>
      <w:r>
        <w:rPr>
          <w:rFonts w:ascii="Times New Roman" w:hAnsi="Times New Roman"/>
        </w:rPr>
        <w:instrText xml:space="preserve"> ADDIN ZOTERO_ITEM CSL_CITATION {"citationID":"mic15sIl","properties":{"formattedCitation":"(van den Bergh, 2008)","plainCitation":"(van den Bergh, 2008)","noteIndex":0},"citationItems":[{"id":3926,"uris":["http://zotero.org/users/9299646/items/HBJIFWHA"],"itemData":{"id":3926,"type":"article-journal","abstract":"The literature on sustainable consumption and environmental regulation of household behavior is dominated by conceptual and normative approaches. As a result, many suggestions lack a firm empirical basis. To overcome this deficiency, econometric studies in three areas of environmentally relevant activities of households are reviewed: residential use of energy, generation of solid waste and recycling, and residential use of water. Next to price and income elasticities, attention is devoted to individual socio-economic features and psychological factors, such as attitudes, knowledge, perceptions and values. Potential psychological determinants and related insights are further examined by discussing a range of representative and illustrative statistical-psychological studies of environmental behavior. One important general finding is that there are very few empirical studies that systematically combine socio-economic and psychological determinants. A range of insights for environmental policy is derived, and research recommendations are offered. © 2008 Elsevier B.V. All rights reserved.","archive":"Scopus","container-title":"Ecological Economics","DOI":"10.1016/j.ecolecon.2008.04.007","ISSN":"0921-8009","issue":"4","language":"en","page":"559-574","source":"Scopus","title":"Environmental regulation of households: An empirical review of economic and psychological factors","title-short":"Environmental regulation of households","volume":"66","author":[{"family":"Bergh","given":"J.C.J.M.","non-dropping-particle":"van den"}],"issued":{"date-parts":[["2008"]]}}}],"schema":"https://github.com/citation-style-language/schema/raw/master/csl-citation.json"} </w:instrText>
      </w:r>
      <w:r>
        <w:rPr>
          <w:rFonts w:ascii="Times New Roman" w:hAnsi="Times New Roman"/>
        </w:rPr>
        <w:fldChar w:fldCharType="separate"/>
      </w:r>
      <w:r>
        <w:rPr>
          <w:rFonts w:ascii="Times New Roman" w:hAnsi="Times New Roman"/>
        </w:rPr>
        <w:t>(van den Bergh, 2008)</w:t>
      </w:r>
      <w:r>
        <w:rPr>
          <w:rFonts w:ascii="Times New Roman" w:hAnsi="Times New Roman"/>
        </w:rPr>
        <w:fldChar w:fldCharType="end"/>
      </w:r>
      <w:r>
        <w:rPr>
          <w:rFonts w:ascii="Times New Roman" w:hAnsi="Times New Roman"/>
        </w:rPr>
        <w:t>. T</w:t>
      </w:r>
      <w:r>
        <w:rPr>
          <w:rFonts w:hint="eastAsia" w:ascii="Times New Roman" w:hAnsi="Times New Roman"/>
        </w:rPr>
        <w:t>he</w:t>
      </w:r>
      <w:r>
        <w:rPr>
          <w:rFonts w:ascii="Times New Roman" w:hAnsi="Times New Roman"/>
        </w:rPr>
        <w:t xml:space="preserve"> strong force of consumers also partly comes from the </w:t>
      </w:r>
      <w:r>
        <w:rPr>
          <w:rFonts w:hint="eastAsia" w:ascii="Times New Roman" w:hAnsi="Times New Roman"/>
        </w:rPr>
        <w:t>p</w:t>
      </w:r>
      <w:r>
        <w:rPr>
          <w:rFonts w:ascii="Times New Roman" w:hAnsi="Times New Roman"/>
        </w:rPr>
        <w:t xml:space="preserve">lenty of competitors in the market. To pursue more profits, producers have to meet consumers' demand for environmentally friendly products, adopt active green innovation strategies, and differentiate their products so as to gain a competitive advantage </w:t>
      </w:r>
      <w:r>
        <w:rPr>
          <w:rFonts w:ascii="Times New Roman" w:hAnsi="Times New Roman"/>
        </w:rPr>
        <w:fldChar w:fldCharType="begin"/>
      </w:r>
      <w:r>
        <w:rPr>
          <w:rFonts w:ascii="Times New Roman" w:hAnsi="Times New Roman"/>
        </w:rPr>
        <w:instrText xml:space="preserve"> ADDIN ZOTERO_ITEM CSL_CITATION {"citationID":"tPm4Wzb1","properties":{"formattedCitation":"(Lin et al., 2014)","plainCitation":"(Lin et al., 2014)","noteIndex":0},"citationItems":[{"id":3441,"uris":["http://zotero.org/users/9299646/items/Q8WHHLWF"],"itemData":{"id":3441,"type":"article-journal","abstract":"This article provides empirical evidence on how the pressures of corporate political capital and stakeholders' affect firms' willingness to embrace green innovation. Using a theoretical framework combining the stakeholder theory with the resource-based views (RBV), we investigate the effects of firms' political capital and stakeholders' pressures on corporate green innovation using a survey to 791 private manufacturing firms in China. Our results reveal that: (1) political capital plays a significant but negative role in firms' green product and process innovation performance; (2) both regulations and suppliers positively promote green innovation in product and process; (3) consumers are positively related to green product innovation but negatively related to green process innovation; and (4) competitions do not have any significant effects on both green product and green process innovation. Furthermore, political factors and stakeholders' contingent roles in institutional context should synthetically be considered to initiate green innovation.","container-title":"Journal of Cleaner Production","DOI":"10.1016/j.jclepro.2013.07.046","ISSN":"0959-6526","journalAbbreviation":"Journal of Cleaner Production","language":"en","page":"63-72","source":"ScienceDirect","title":"Can political capital drive corporate green innovation? Lessons from China","title-short":"Can political capital drive corporate green innovation?","volume":"64","author":[{"family":"Lin","given":"H."},{"family":"Zeng","given":"S. X."},{"family":"Ma","given":"H. Y."},{"family":"Qi","given":"G. Y."},{"family":"Tam","given":"Vivian W. Y."}],"issued":{"date-parts":[["2014",2,1]]}}}],"schema":"https://github.com/citation-style-language/schema/raw/master/csl-citation.json"} </w:instrText>
      </w:r>
      <w:r>
        <w:rPr>
          <w:rFonts w:ascii="Times New Roman" w:hAnsi="Times New Roman"/>
        </w:rPr>
        <w:fldChar w:fldCharType="separate"/>
      </w:r>
      <w:r>
        <w:rPr>
          <w:rFonts w:ascii="Times New Roman" w:hAnsi="Times New Roman"/>
        </w:rPr>
        <w:t>(Lin et al., 2014)</w:t>
      </w:r>
      <w:r>
        <w:rPr>
          <w:rFonts w:ascii="Times New Roman" w:hAnsi="Times New Roman"/>
        </w:rPr>
        <w:fldChar w:fldCharType="end"/>
      </w:r>
      <w:r>
        <w:rPr>
          <w:rFonts w:ascii="Times New Roman" w:hAnsi="Times New Roman"/>
        </w:rPr>
        <w:t xml:space="preserve">. </w:t>
      </w:r>
    </w:p>
    <w:p>
      <w:pPr>
        <w:spacing w:line="312" w:lineRule="auto"/>
        <w:ind w:firstLine="420"/>
        <w:rPr>
          <w:rFonts w:ascii="Times New Roman" w:hAnsi="Times New Roman"/>
        </w:rPr>
      </w:pPr>
      <w:r>
        <w:rPr>
          <w:rFonts w:ascii="Times New Roman" w:hAnsi="Times New Roman"/>
        </w:rPr>
        <w:t xml:space="preserve">Similar to the role of consumers, with environmental issues attracting more attention, green investment has been more popular, and investors mainly exert pressure on enterprises through the financial market. On the one hand, investors believe that listed companies that are actively involved in environmental protection and have good green performance can effectively take into account current investment income and long-term capital appreciation; on the other hand, </w:t>
      </w:r>
      <w:r>
        <w:rPr>
          <w:rFonts w:hint="eastAsia" w:ascii="Times New Roman" w:hAnsi="Times New Roman"/>
        </w:rPr>
        <w:t>t</w:t>
      </w:r>
      <w:r>
        <w:rPr>
          <w:rFonts w:ascii="Times New Roman" w:hAnsi="Times New Roman"/>
        </w:rPr>
        <w:t xml:space="preserve">o avoid risks as much as possible, investors usually consider the environmental risks and losses caused by pollution penalties. Some studies have shown that stock markets in both developed and developing countries react significantly to environmental news </w:t>
      </w:r>
      <w:r>
        <w:rPr>
          <w:rFonts w:ascii="Times New Roman" w:hAnsi="Times New Roman"/>
        </w:rPr>
        <w:fldChar w:fldCharType="begin"/>
      </w:r>
      <w:r>
        <w:rPr>
          <w:rFonts w:ascii="Times New Roman" w:hAnsi="Times New Roman"/>
        </w:rPr>
        <w:instrText xml:space="preserve"> ADDIN ZOTERO_ITEM CSL_CITATION {"citationID":"LhEFOItJ","properties":{"formattedCitation":"(Hamilton, 1995; Stephan, 2002)","plainCitation":"(Hamilton, 1995; Stephan, 2002)","noteIndex":0},"citationItems":[{"id":3936,"uris":["http://zotero.org/users/9299646/items/BVISQ78L"],"itemData":{"id":3936,"type":"article-journal","abstract":"This study investigates whether pollution data released by the EPA in the June 1989 Toxics Release Inventory (TRI) were “news” to journalists and investors. The results indicate that the higher pollution figures (such as air emissions or offsitc shipments of toxic waste) were in a firm’s TRI reports, the more likely print journalists were to write about the firm’;s toxic releases. Investors also found this pollution information of interest, since nearly three quarters of the TRI pollution releases came from publicly held companies. Stockholders in firms reporting TRI pollution figures experienced negative, statistically significant abnormal returns upon the first release of the information. These abnormal returns translated into an average loss of $4.1 million in stock value for TRI firms on the day the pollution figures were first released. © 1995 Academic Press, Inc.","archive":"Scopus","container-title":"Journal of Environmental Economics and Management","DOI":"10.1006/jeem.1995.1007","ISSN":"0095-0696","issue":"1","language":"en","page":"98-113","source":"Scopus","title":"Pollution as news: Media and stock market reactions to the toxics release inventory data","title-short":"Pollution as news","volume":"28","author":[{"family":"Hamilton","given":"J.T."}],"issued":{"date-parts":[["1995"]]}}},{"id":3941,"uris":["http://zotero.org/users/9299646/items/9CW9DX59"],"itemData":{"id":3941,"type":"article-journal","container-title":"Social Science Quarterly","DOI":"10.1111/1540-6237.00078","issue":"1","language":"en","note":"publisher: Wiley Online Library","page":"190–205","source":"Google Scholar","title":"Environmental information disclosure programs: they work, but why?","title-short":"Environmental information disclosure programs","volume":"83","author":[{"family":"Stephan","given":"Mark"}],"issued":{"date-parts":[["2002"]]}}}],"schema":"https://github.com/citation-style-language/schema/raw/master/csl-citation.json"} </w:instrText>
      </w:r>
      <w:r>
        <w:rPr>
          <w:rFonts w:ascii="Times New Roman" w:hAnsi="Times New Roman"/>
        </w:rPr>
        <w:fldChar w:fldCharType="separate"/>
      </w:r>
      <w:r>
        <w:rPr>
          <w:rFonts w:ascii="Times New Roman" w:hAnsi="Times New Roman"/>
        </w:rPr>
        <w:t>(Hamilton, 1995; Stephan, 2002)</w:t>
      </w:r>
      <w:r>
        <w:rPr>
          <w:rFonts w:ascii="Times New Roman" w:hAnsi="Times New Roman"/>
        </w:rPr>
        <w:fldChar w:fldCharType="end"/>
      </w:r>
      <w:r>
        <w:rPr>
          <w:rFonts w:ascii="Times New Roman" w:hAnsi="Times New Roman"/>
        </w:rPr>
        <w:t>. Suppliers have a direct impact on green production, including products and process</w:t>
      </w:r>
      <w:r>
        <w:rPr>
          <w:rFonts w:hint="eastAsia" w:ascii="Times New Roman" w:hAnsi="Times New Roman"/>
          <w:lang w:val="en-US" w:eastAsia="zh-CN"/>
        </w:rPr>
        <w:t>es</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{"citationID":"cyTYeVES","properties":{"formattedCitation":"(Zhu et al., 2010)","plainCitation":"(Zhu et al., 2010)","noteIndex":0},"citationItems":[{"id":3945,"uris":["http://zotero.org/users/9299646/items/ZUQ82PMU"],"itemData":{"id":3945,"type":"article-journal","abstract":"The rapidly growing industrial activities in emerging economies such as China have been causing resource depletion and pollution problems. This reality requires China to adopt an integrated management approach to resolve the conflict between industrial development and environmental protection, and the concept of circular economy (CE) serves this purpose. In this paper, we examine if different types of manufacturing enterprises on environmental-oriented supply chain cooperation (ESCC) exist. We also determine if the Chinese manufacturer types varying in ESCC differ in their implementation of the CE practices towards achieving the CE-targeted goals on improving both environmental and economic performance. Our cluster analytic results with multivariate analysis of variance (MANOVA) among the four identified types of Chinese manufacturers varying in environmental-oriented supply chain cooperation highlight the importance to intensify the cooperation with upstream and downstream supply chain partners for a CE initiative to succeed. © 2010 Elsevier Ltd.","archive":"Scopus","container-title":"Journal of Environmental Management","DOI":"10.1016/j.jenvman.2010.02.013","ISSN":"0301-4797","issue":"6","language":"en","page":"1324-1331","source":"Scopus","title":"Circular economy practices among Chinese manufacturers varying in environmental-oriented supply chain cooperation and the performance implications","volume":"91","author":[{"family":"Zhu","given":"Q."},{"family":"Geng","given":"Y."},{"family":"Lai","given":"K.-H."}],"issued":{"date-parts":[["2010"]]}}}],"schema":"https://github.com/citation-style-language/schema/raw/master/csl-citation.json"} </w:instrText>
      </w:r>
      <w:r>
        <w:rPr>
          <w:rFonts w:ascii="Times New Roman" w:hAnsi="Times New Roman"/>
        </w:rPr>
        <w:fldChar w:fldCharType="separate"/>
      </w:r>
      <w:r>
        <w:rPr>
          <w:rFonts w:ascii="Times New Roman" w:hAnsi="Times New Roman"/>
        </w:rPr>
        <w:t>(Zhu et al., 2010)</w:t>
      </w:r>
      <w:r>
        <w:rPr>
          <w:rFonts w:ascii="Times New Roman" w:hAnsi="Times New Roman"/>
        </w:rPr>
        <w:fldChar w:fldCharType="end"/>
      </w:r>
      <w:r>
        <w:rPr>
          <w:rFonts w:ascii="Times New Roman" w:hAnsi="Times New Roman"/>
        </w:rPr>
        <w:t xml:space="preserve">. As for a source of “green capabilities”, suppliers provide firms </w:t>
      </w:r>
      <w:r>
        <w:rPr>
          <w:rFonts w:hint="eastAsia" w:ascii="Times New Roman" w:hAnsi="Times New Roman"/>
          <w:lang w:val="en-US" w:eastAsia="zh-CN"/>
        </w:rPr>
        <w:t xml:space="preserve">with </w:t>
      </w:r>
      <w:r>
        <w:rPr>
          <w:rFonts w:ascii="Times New Roman" w:hAnsi="Times New Roman"/>
        </w:rPr>
        <w:t>a relatively solid foundation in terms of substance and technologies to produce high</w:t>
      </w:r>
      <w:r>
        <w:rPr>
          <w:rFonts w:hint="eastAsia" w:ascii="Times New Roman" w:hAnsi="Times New Roman"/>
          <w:lang w:val="en-US" w:eastAsia="zh-CN"/>
        </w:rPr>
        <w:t>-</w:t>
      </w:r>
      <w:r>
        <w:rPr>
          <w:rFonts w:ascii="Times New Roman" w:hAnsi="Times New Roman"/>
        </w:rPr>
        <w:t>quality eco</w:t>
      </w:r>
      <w:r>
        <w:rPr>
          <w:rFonts w:hint="eastAsia" w:ascii="Times New Roman" w:hAnsi="Times New Roman"/>
          <w:lang w:val="en-US" w:eastAsia="zh-CN"/>
        </w:rPr>
        <w:t>logical</w:t>
      </w:r>
      <w:r>
        <w:rPr>
          <w:rFonts w:ascii="Times New Roman" w:hAnsi="Times New Roman"/>
        </w:rPr>
        <w:t xml:space="preserve"> products or efficient processes. The incessantly exogenous technical change from suppliers also provides sufficient incentives to spur green innovation within upstream firms </w:t>
      </w:r>
      <w:r>
        <w:rPr>
          <w:rFonts w:ascii="Times New Roman" w:hAnsi="Times New Roman"/>
        </w:rPr>
        <w:fldChar w:fldCharType="begin"/>
      </w:r>
      <w:r>
        <w:rPr>
          <w:rFonts w:ascii="Times New Roman" w:hAnsi="Times New Roman"/>
        </w:rPr>
        <w:instrText xml:space="preserve"> ADDIN ZOTERO_ITEM CSL_CITATION {"citationID":"2kTiK9z8","properties":{"formattedCitation":"(Horbach, 2008)","plainCitation":"(Horbach, 2008)","noteIndex":0},"citationItems":[{"id":3950,"uris":["http://zotero.org/users/9299646/items/S234IV2V"],"itemData":{"id":3950,"type":"article-journal","abstract":"In most cases, empirical analyses of environmental innovations based on firm-level data relied on surveys for one point in time. These surveys allow for the inclusion of many explanatory variables such as different policy instruments or the influence of pressure groups but it is not possible to address the dynamic character of environmental innovations. This paper uses two German panel databases, the establishment panel of the Institute for Employment Research (IAB) and the Mannheim innovation panel (MIP) of the Centre for European Economic Research (ZEW), to explore the determinants of environmental innovations. The econometric estimations show that the improvement of the technological capabilities (“knowledge capital”) by R&amp;D triggers environmental innovations. Environmental regulation, environmental management tools and general organizational changes also encourage environmental innovation, a result that has also been postulated by the famous Porter-hypothesis.","container-title":"Research Policy","DOI":"10.1016/j.respol.2007.08.006","ISSN":"0048-7333","issue":"1","journalAbbreviation":"Research Policy","language":"en","page":"163-173","source":"ScienceDirect","title":"Determinants of environmental innovation—New evidence from German panel data sources","volume":"37","author":[{"family":"Horbach","given":"Jens"}],"issued":{"date-parts":[["2008",2,1]]}}}],"schema":"https://github.com/citation-style-language/schema/raw/master/csl-citation.json"} </w:instrText>
      </w:r>
      <w:r>
        <w:rPr>
          <w:rFonts w:ascii="Times New Roman" w:hAnsi="Times New Roman"/>
        </w:rPr>
        <w:fldChar w:fldCharType="separate"/>
      </w:r>
      <w:r>
        <w:rPr>
          <w:rFonts w:ascii="Times New Roman" w:hAnsi="Times New Roman"/>
        </w:rPr>
        <w:t>(Horbach, 2008)</w:t>
      </w:r>
      <w:r>
        <w:rPr>
          <w:rFonts w:ascii="Times New Roman" w:hAnsi="Times New Roman"/>
        </w:rPr>
        <w:fldChar w:fldCharType="end"/>
      </w:r>
      <w:r>
        <w:rPr>
          <w:rFonts w:ascii="Times New Roman" w:hAnsi="Times New Roman"/>
        </w:rPr>
        <w:t>. Unde</w:t>
      </w:r>
      <w:r>
        <w:rPr>
          <w:rFonts w:hint="eastAsia" w:ascii="Times New Roman" w:hAnsi="Times New Roman"/>
        </w:rPr>
        <w:t>r</w:t>
      </w:r>
      <w:r>
        <w:rPr>
          <w:rFonts w:ascii="Times New Roman" w:hAnsi="Times New Roman"/>
        </w:rPr>
        <w:t xml:space="preserve"> globalization, multinational companies are also an important force driving the improvement of corporate environmental management. T</w:t>
      </w:r>
      <w:r>
        <w:rPr>
          <w:rFonts w:hint="eastAsia" w:ascii="Times New Roman" w:hAnsi="Times New Roman"/>
        </w:rPr>
        <w:t>his</w:t>
      </w:r>
      <w:r>
        <w:rPr>
          <w:rFonts w:ascii="Times New Roman" w:hAnsi="Times New Roman"/>
        </w:rPr>
        <w:t xml:space="preserve"> is because multinational companies can transfer the more advanced environmental technologies and management systems developed in response to more stringent regulations in developed countries to their subsidiaries </w:t>
      </w:r>
      <w:r>
        <w:rPr>
          <w:rFonts w:ascii="Times New Roman" w:hAnsi="Times New Roman"/>
        </w:rPr>
        <w:fldChar w:fldCharType="begin"/>
      </w:r>
      <w:r>
        <w:rPr>
          <w:rFonts w:ascii="Times New Roman" w:hAnsi="Times New Roman"/>
        </w:rPr>
        <w:instrText xml:space="preserve"> ADDIN ZOTERO_ITEM CSL_CITATION {"citationID":"k1cTo32k","properties":{"formattedCitation":"(Stalley, 2009)","plainCitation":"(Stalley, 2009)","noteIndex":0},"citationItems":[{"id":3402,"uris":["http://zotero.org/users/9299646/items/D6BHM283"],"itemData":{"id":3402,"type":"article-journal","abstract":"How does participation in the global economy influence the pollution management practices of firms in a developing country? Research on trade and the environment leads one to anticipate that integration into the international economy should enhance domestic firm environmental behavior. Integration facilitates access to cleaner technology, exposes domestic firms to global norms of corporate environmentalism, and compels developing country firms to meet trading partners' environmental standards or risk losing market access. This article tests these propositions by exploring the environmental compliance of internationally oriented firms in China—a country whose rapid economic expansion and increasingly prominent role as a foreign investor have considerable implications for protection of the global environment. It finds that there is only modest market-induced enhancement of environmental performance among Chinese companies. In terms of their compliance with environmental law, Chinese firms with connections to the global economy are either no better than domestically oriented companies or, in the case of firms that export heavily, are worse.","container-title":"Journal of Contemporary China","DOI":"10.1080/10670560903033869","ISSN":"1067-0564","issue":"61","note":"publisher: Routledge\n_eprint: https://doi.org/10.1080/10670560903033869","page":"567-590","source":"Taylor and Francis+NEJM","title":"Can Trade Green China? Participation in the global economy and the environmental performance of Chinese firms","title-short":"Can Trade Green China?","volume":"18","author":[{"family":"Stalley","given":"Phillip"}],"issued":{"date-parts":[["2009",9,1]]}}}],"schema":"https://github.com/citation-style-language/schema/raw/master/csl-citation.json"} </w:instrText>
      </w:r>
      <w:r>
        <w:rPr>
          <w:rFonts w:ascii="Times New Roman" w:hAnsi="Times New Roman"/>
        </w:rPr>
        <w:fldChar w:fldCharType="separate"/>
      </w:r>
      <w:r>
        <w:rPr>
          <w:rFonts w:ascii="Times New Roman" w:hAnsi="Times New Roman"/>
        </w:rPr>
        <w:t>(Stalley, 2009)</w:t>
      </w:r>
      <w:r>
        <w:rPr>
          <w:rFonts w:ascii="Times New Roman" w:hAnsi="Times New Roman"/>
        </w:rPr>
        <w:fldChar w:fldCharType="end"/>
      </w:r>
      <w:r>
        <w:rPr>
          <w:rFonts w:ascii="Times New Roman" w:hAnsi="Times New Roman"/>
        </w:rPr>
        <w:t xml:space="preserve">. And another reason is that subsidiaries of multinational companies in developing countries may exert pressure on domestic suppliers to self-regulate their environmental performance </w:t>
      </w:r>
      <w:r>
        <w:rPr>
          <w:rFonts w:ascii="Times New Roman" w:hAnsi="Times New Roman"/>
        </w:rPr>
        <w:fldChar w:fldCharType="begin"/>
      </w:r>
      <w:r>
        <w:rPr>
          <w:rFonts w:ascii="Times New Roman" w:hAnsi="Times New Roman"/>
        </w:rPr>
        <w:instrText xml:space="preserve"> ADDIN ZOTERO_ITEM CSL_CITATION {"citationID":"V4k3AHzk","properties":{"formattedCitation":"(Christmann and Taylor, 2001)","plainCitation":"(Christmann and Taylor, 2001)","noteIndex":0},"citationItems":[{"id":3306,"uris":["http://zotero.org/users/9299646/items/JJT6HDGS"],"itemData":{"id":3306,"type":"article-journal","abstract":"Critics assert that globalization is detrimental to the environment because it encourages location of polluting industries in countries with low environmental regulations. We suggest that globalization might also have positive environmental effects because global ties increase self-regulation pressures on firms in low-regulation countries. Using survey data from firms in China we find that multinational ownership, multinational customers, and exports to developed countries increase self-regulation of environmental performance.","container-title":"Journal of International Business Studies","DOI":"10.1057/palgrave.jibs.8490976","ISSN":"1478-6990","issue":"3","journalAbbreviation":"J Int Bus Stud","language":"en","page":"439-458","source":"Springer Link","title":"Globalization and the Environment: Determinants of Firm Self-Regulation in China","title-short":"Globalization and the Environment","volume":"32","author":[{"family":"Christmann","given":"Petra"},{"family":"Taylor","given":"Glen"}],"issued":{"date-parts":[["2001",9,1]]}}}],"schema":"https://github.com/citation-style-language/schema/raw/master/csl-citation.json"} </w:instrText>
      </w:r>
      <w:r>
        <w:rPr>
          <w:rFonts w:ascii="Times New Roman" w:hAnsi="Times New Roman"/>
        </w:rPr>
        <w:fldChar w:fldCharType="separate"/>
      </w:r>
      <w:r>
        <w:rPr>
          <w:rFonts w:ascii="Times New Roman" w:hAnsi="Times New Roman"/>
        </w:rPr>
        <w:t>(Christmann and Taylor, 2001)</w:t>
      </w:r>
      <w:r>
        <w:rPr>
          <w:rFonts w:ascii="Times New Roman" w:hAnsi="Times New Roman"/>
        </w:rPr>
        <w:fldChar w:fldCharType="end"/>
      </w:r>
      <w:r>
        <w:rPr>
          <w:rFonts w:ascii="Times New Roman" w:hAnsi="Times New Roman"/>
        </w:rPr>
        <w:t>.</w:t>
      </w:r>
      <w:r>
        <w:t xml:space="preserve"> </w:t>
      </w:r>
      <w:r>
        <w:rPr>
          <w:rFonts w:ascii="Times New Roman" w:hAnsi="Times New Roman"/>
        </w:rPr>
        <w:t xml:space="preserve">All in all, under the joint action of multiple stakeholders in the market, enterprises face multiple pressures to improve environmental </w:t>
      </w:r>
      <w:r>
        <w:rPr>
          <w:rFonts w:hint="eastAsia" w:ascii="Times New Roman" w:hAnsi="Times New Roman"/>
        </w:rPr>
        <w:t>perfo</w:t>
      </w:r>
      <w:r>
        <w:rPr>
          <w:rFonts w:ascii="Times New Roman" w:hAnsi="Times New Roman"/>
        </w:rPr>
        <w:t>rmance, thus driving the motivation of enterprises to improve their environment.</w:t>
      </w:r>
    </w:p>
    <w:p>
      <w:pPr>
        <w:spacing w:before="156" w:beforeLines="50" w:line="312" w:lineRule="auto"/>
        <w:ind w:firstLine="420"/>
        <w:rPr>
          <w:rFonts w:ascii="Times New Roman" w:hAnsi="Times New Roman" w:cs="Times New Roman Regular"/>
          <w:b/>
          <w:bCs/>
          <w:sz w:val="22"/>
          <w:szCs w:val="28"/>
        </w:rPr>
      </w:pPr>
      <w:r>
        <w:rPr>
          <w:rFonts w:hint="eastAsia" w:ascii="Times New Roman" w:hAnsi="Times New Roman" w:cs="Times New Roman Regular"/>
          <w:b/>
          <w:bCs/>
          <w:sz w:val="22"/>
          <w:szCs w:val="28"/>
        </w:rPr>
        <w:t>3 Community pressure</w:t>
      </w:r>
    </w:p>
    <w:p>
      <w:pPr>
        <w:spacing w:line="312" w:lineRule="auto"/>
        <w:ind w:firstLine="420"/>
        <w:rPr>
          <w:rFonts w:ascii="Times New Roman" w:hAnsi="Times New Roman"/>
        </w:rPr>
      </w:pPr>
      <w:r>
        <w:rPr>
          <w:rFonts w:hint="eastAsia" w:ascii="Times New Roman" w:hAnsi="Times New Roman"/>
        </w:rPr>
        <w:t>As</w:t>
      </w:r>
      <w:r>
        <w:rPr>
          <w:rFonts w:ascii="Times New Roman" w:hAnsi="Times New Roman"/>
        </w:rPr>
        <w:t xml:space="preserve"> opposed to “formal regulation” by </w:t>
      </w:r>
      <w:r>
        <w:rPr>
          <w:rFonts w:hint="eastAsia" w:ascii="Times New Roman" w:hAnsi="Times New Roman"/>
          <w:lang w:val="en-US" w:eastAsia="zh-CN"/>
        </w:rPr>
        <w:t xml:space="preserve">the </w:t>
      </w:r>
      <w:r>
        <w:rPr>
          <w:rFonts w:ascii="Times New Roman" w:hAnsi="Times New Roman"/>
        </w:rPr>
        <w:t xml:space="preserve">government, community pressure can be viewed as a form of “informal regulation”. Stakeholders, including residents, industry associations, public media, etc., monitor the environmental behavior of production enterprises through various channels, and drive enterprises to improve environmental management. First of all, the residents of the community where the enterprise is located are the direct stakeholders affected by the production activities, and they mainly exert normative pressure on the company through environmental protection actions or filing civil lawsuits </w:t>
      </w:r>
      <w:r>
        <w:rPr>
          <w:rFonts w:ascii="Times New Roman" w:hAnsi="Times New Roman"/>
        </w:rPr>
        <w:fldChar w:fldCharType="begin"/>
      </w:r>
      <w:r>
        <w:rPr>
          <w:rFonts w:ascii="Times New Roman" w:hAnsi="Times New Roman"/>
        </w:rPr>
        <w:instrText xml:space="preserve"> ADDIN ZOTERO_ITEM CSL_CITATION {"citationID":"vMrZXGwc","properties":{"formattedCitation":"(Liu et al., 2010)","plainCitation":"(Liu et al., 2010)","noteIndex":0},"citationItems":[{"id":3232,"uris":["http://zotero.org/users/9299646/items/Y28AE6LC"],"itemData":{"id":3232,"type":"article-journal","abstract":"Environmentalism in China is under transformation from the traditional command and control model to emphasize the advantages of economic tools and encourage the participation of the public. Firms are much more aware of the importance of environmental issues, and some of them have practiced environmental activities beyond compliance. In order to help understand the driving mechanism of proactive corporate environmental behaviors from the firm’s perspective, this paper identifies the drivers affecting the proactive environmental management level (EMLp) based on the institutional theory, and gives an empirical study on the firms based in Changshu city of Jiangsu Province, China. The usable data, collected from the 117 valid respondents in a questionnaire survey, indicates that EMLp is still moderately low currently. Less than 10% of the samples are practicing all the six categorized types of voluntary environmental activities. The econometric exercise confirms a significantly positive effect of the externally mimetic pressure on EMLp, which may attribute to a higher sensitivity of Chinese companies to the market factors. However, the roles of the general public and industrial associations are not significant, showing the marginal power of selected normative pressures. Regarding internal factors, firms, which view environmental issues as opportunities and often arrange internal environmental training, are more likely to adopt proactive environmental activities. More concerns from the general public like neighborhood communities and mass media shall be addressed to enhance the normative power to improve EMLp in China from the future perspective.","container-title":"Journal of Environmental Management","DOI":"10.1016/j.jenvman.2010.03.011","ISSN":"0301-4797","issue":"8","journalAbbreviation":"Journal of Environmental Management","language":"en","page":"1707-1717","source":"ScienceDirect","title":"An empirical study on the driving mechanism of proactive corporate environmental management in China","volume":"91","author":[{"family":"Liu","given":"Xianbing"},{"family":"Liu","given":"Beibei"},{"family":"Shishime","given":"Tomohiro"},{"family":"Yu","given":"Qinqin"},{"family":"Bi","given":"Jun"},{"family":"Fujitsuka","given":"Tetsuro"}],"issued":{"date-parts":[["2010",8,1]]}}}],"schema":"https://github.com/citation-style-language/schema/raw/master/csl-citation.json"} </w:instrText>
      </w:r>
      <w:r>
        <w:rPr>
          <w:rFonts w:ascii="Times New Roman" w:hAnsi="Times New Roman"/>
        </w:rPr>
        <w:fldChar w:fldCharType="separate"/>
      </w:r>
      <w:r>
        <w:rPr>
          <w:rFonts w:ascii="Times New Roman" w:hAnsi="Times New Roman"/>
        </w:rPr>
        <w:t>(Liu et al., 2010)</w:t>
      </w:r>
      <w:r>
        <w:rPr>
          <w:rFonts w:ascii="Times New Roman" w:hAnsi="Times New Roman"/>
        </w:rPr>
        <w:fldChar w:fldCharType="end"/>
      </w:r>
      <w:r>
        <w:rPr>
          <w:rFonts w:ascii="Times New Roman" w:hAnsi="Times New Roman"/>
        </w:rPr>
        <w:t xml:space="preserve">. Where there is a formal regulator, the community uses the political process to influence the stringency of enforcement; if not, the community usually negotiates with the factory that fails to compensate or reduce pollution </w:t>
      </w:r>
      <w:r>
        <w:rPr>
          <w:rFonts w:ascii="Times New Roman" w:hAnsi="Times New Roman"/>
        </w:rPr>
        <w:fldChar w:fldCharType="begin"/>
      </w:r>
      <w:r>
        <w:rPr>
          <w:rFonts w:ascii="Times New Roman" w:hAnsi="Times New Roman"/>
        </w:rPr>
        <w:instrText xml:space="preserve"> ADDIN ZOTERO_ITEM CSL_CITATION {"citationID":"i1HScO2r","properties":{"formattedCitation":"(Wang et al., 2004)","plainCitation":"(Wang et al., 2004)","noteIndex":0},"citationItems":[{"id":3310,"uris":["http://zotero.org/users/9299646/items/BTBJAK9U"],"itemData":{"id":3310,"type":"article-journal","abstract":"In this paper we describe a new incentive-based pollution control program in China, in which the environmental performance of firms is rated from best to worst using five colors—green, blue, yellow, red and black—and the ratings are disseminated to the public through the media. We focus on the first two municipal disclosure programs, which have been implemented at very different levels of economic and institutional development. In both cases, the increases in compliance with pollution regulations have been similar to increases produced by public disclosure programs in Indonesia, the Philippines, and Vietnam. The results suggest that incentives created by public disclosure may significantly reduce pollution in China, even though environmental NGO's play little role and there is no formal channel for public participation in environmental regulation.","container-title":"Journal of Environmental Management","DOI":"10.1016/j.jenvman.2004.01.007","ISSN":"0301-4797","issue":"2","journalAbbreviation":"Journal of Environmental Management","language":"en","page":"123-133","source":"ScienceDirect","title":"Environmental performance rating and disclosure: China's Green Watch program","title-short":"Environmental performance rating and disclosure","volume":"71","author":[{"family":"Wang","given":"Hua"},{"family":"Bi","given":"Jun"},{"family":"Wheeler","given":"David"},{"family":"Wang","given":"Jinnan"},{"family":"Cao","given":"Dong"},{"family":"Lu","given":"Genfa"},{"family":"Wang","given":"Yuan"}],"issued":{"date-parts":[["2004",6,1]]}}}],"schema":"https://github.com/citation-style-language/schema/raw/master/csl-citation.json"} </w:instrText>
      </w:r>
      <w:r>
        <w:rPr>
          <w:rFonts w:ascii="Times New Roman" w:hAnsi="Times New Roman"/>
        </w:rPr>
        <w:fldChar w:fldCharType="separate"/>
      </w:r>
      <w:r>
        <w:rPr>
          <w:rFonts w:ascii="Times New Roman" w:hAnsi="Times New Roman"/>
        </w:rPr>
        <w:t>(Wang et al., 2004)</w:t>
      </w:r>
      <w:r>
        <w:rPr>
          <w:rFonts w:ascii="Times New Roman" w:hAnsi="Times New Roman"/>
        </w:rPr>
        <w:fldChar w:fldCharType="end"/>
      </w:r>
      <w:r>
        <w:rPr>
          <w:rFonts w:ascii="Times New Roman" w:hAnsi="Times New Roman"/>
        </w:rPr>
        <w:t xml:space="preserve">. Second, as a non-governmental organization, industry associations are the bridge between governments and enterprises </w:t>
      </w:r>
      <w:r>
        <w:rPr>
          <w:rFonts w:ascii="Times New Roman" w:hAnsi="Times New Roman"/>
        </w:rPr>
        <w:fldChar w:fldCharType="begin"/>
      </w:r>
      <w:r>
        <w:rPr>
          <w:rFonts w:ascii="Times New Roman" w:hAnsi="Times New Roman"/>
        </w:rPr>
        <w:instrText xml:space="preserve"> ADDIN ZOTERO_ITEM CSL_CITATION {"citationID":"k2B9ve59","properties":{"formattedCitation":"(Zeng et al., 2011)","plainCitation":"(Zeng et al., 2011)","noteIndex":0},"citationItems":[{"id":3286,"uris":["http://zotero.org/users/9299646/items/WFR7SHWW"],"itemData":{"id":3286,"type":"article-journal","abstract":"Small- and medium-sized enterprises (SMEs) form the core of societal and economic development. However, most people query on the implementation and performance of environmental management. In this paper, the manufacturing SMEs in Northern China with different pollution levels are studied to explore the main forces (e.g., government, society, market, and enterprise itself) driving SMEs for promoting environmental management. It focuses on the correlation between environmental management and economic performance for SMEs at different pollution levels. The results show that SMEs of different pollution levels have significant differences in the relationship of driving forces and performance. First, for SMEs with high-pollution levels, social and market driving forces and government incentives are revealed having a significant effect on their environmental performance. Driving forces from within the enterprise itself and the market provide a positive effect on the economic performance, while social forces have a negative effect. Second, for SMEs with light pollution, social and market driving forces, and government assistance play a supporting role on corporate environmental performance improvement. It is also found that the driving force of the enterprise itself does not have a significant effect on the environmental performance for SMEs with different pollution levels. In addition, the environmental performance and economic performance for SMEs with high or light-pollution levels are positively correlated. Further, it shows that the environmental performance is moderately correlated with financial indices, but not significantly with the non-financial indices.","container-title":"Journal of Cleaner Production","DOI":"10.1016/j.jclepro.2011.05.002","ISSN":"0959-6526","issue":"13","journalAbbreviation":"Journal of Cleaner Production","language":"en","page":"1426-1437","source":"ScienceDirect","title":"How environmental management driving forces affect environmental and economic performance of SMEs: a study in the Northern China district","title-short":"How environmental management driving forces affect environmental and economic performance of SMEs","volume":"19","author":[{"family":"Zeng","given":"S. X."},{"family":"Meng","given":"X. H."},{"family":"Zeng","given":"R. C."},{"family":"Tam","given":"C. M."},{"family":"Tam","given":"Vivian W. Y."},{"family":"Jin","given":"T."}],"issued":{"date-parts":[["2011",9,1]]}}}],"schema":"https://github.com/citation-style-language/schema/raw/master/csl-citation.json"} </w:instrText>
      </w:r>
      <w:r>
        <w:rPr>
          <w:rFonts w:ascii="Times New Roman" w:hAnsi="Times New Roman"/>
        </w:rPr>
        <w:fldChar w:fldCharType="separate"/>
      </w:r>
      <w:r>
        <w:rPr>
          <w:rFonts w:ascii="Times New Roman" w:hAnsi="Times New Roman"/>
        </w:rPr>
        <w:t>(Zeng et al., 2011)</w:t>
      </w:r>
      <w:r>
        <w:rPr>
          <w:rFonts w:ascii="Times New Roman" w:hAnsi="Times New Roman"/>
        </w:rPr>
        <w:fldChar w:fldCharType="end"/>
      </w:r>
      <w:r>
        <w:rPr>
          <w:rFonts w:ascii="Times New Roman" w:hAnsi="Times New Roman"/>
        </w:rPr>
        <w:t>. On the one hand, industry associations know enterprises’ production, operation, management, and waste in their industries best, and have the priority to mastering information such as advanced technologies, waste production and dis</w:t>
      </w:r>
      <w:r>
        <w:rPr>
          <w:rFonts w:hint="eastAsia" w:ascii="Times New Roman" w:hAnsi="Times New Roman"/>
        </w:rPr>
        <w:t>posal</w:t>
      </w:r>
      <w:r>
        <w:rPr>
          <w:rFonts w:ascii="Times New Roman" w:hAnsi="Times New Roman"/>
        </w:rPr>
        <w:t xml:space="preserve">, </w:t>
      </w:r>
      <w:r>
        <w:rPr>
          <w:rFonts w:hint="eastAsia" w:ascii="Times New Roman" w:hAnsi="Times New Roman"/>
        </w:rPr>
        <w:t>whi</w:t>
      </w:r>
      <w:r>
        <w:rPr>
          <w:rFonts w:ascii="Times New Roman" w:hAnsi="Times New Roman"/>
        </w:rPr>
        <w:t xml:space="preserve">ch are beneficial to industry guidance and environmental management. On the other hand, industry associations can reduce environmental pollution </w:t>
      </w:r>
      <w:r>
        <w:rPr>
          <w:rFonts w:hint="eastAsia" w:ascii="Times New Roman" w:hAnsi="Times New Roman"/>
        </w:rPr>
        <w:t>at</w:t>
      </w:r>
      <w:r>
        <w:rPr>
          <w:rFonts w:ascii="Times New Roman" w:hAnsi="Times New Roman"/>
        </w:rPr>
        <w:t xml:space="preserve"> source and improve regional environmental quality through industry coordination and industry self-discipline, thus it is an effective supplement to legal and administrative means </w:t>
      </w:r>
      <w:r>
        <w:rPr>
          <w:rFonts w:ascii="Times New Roman" w:hAnsi="Times New Roman"/>
        </w:rPr>
        <w:fldChar w:fldCharType="begin"/>
      </w:r>
      <w:r>
        <w:rPr>
          <w:rFonts w:ascii="Times New Roman" w:hAnsi="Times New Roman"/>
        </w:rPr>
        <w:instrText xml:space="preserve"> ADDIN ZOTERO_ITEM CSL_CITATION {"citationID":"YeWARM7C","properties":{"formattedCitation":"(Liu et al., 2010)","plainCitation":"(Liu et al., 2010)","noteIndex":0},"citationItems":[{"id":3232,"uris":["http://zotero.org/users/9299646/items/Y28AE6LC"],"itemData":{"id":3232,"type":"article-journal","abstract":"Environmentalism in China is under transformation from the traditional command and control model to emphasize the advantages of economic tools and encourage the participation of the public. Firms are much more aware of the importance of environmental issues, and some of them have practiced environmental activities beyond compliance. In order to help understand the driving mechanism of proactive corporate environmental behaviors from the firm’s perspective, this paper identifies the drivers affecting the proactive environmental management level (EMLp) based on the institutional theory, and gives an empirical study on the firms based in Changshu city of Jiangsu Province, China. The usable data, collected from the 117 valid respondents in a questionnaire survey, indicates that EMLp is still moderately low currently. Less than 10% of the samples are practicing all the six categorized types of voluntary environmental activities. The econometric exercise confirms a significantly positive effect of the externally mimetic pressure on EMLp, which may attribute to a higher sensitivity of Chinese companies to the market factors. However, the roles of the general public and industrial associations are not significant, showing the marginal power of selected normative pressures. Regarding internal factors, firms, which view environmental issues as opportunities and often arrange internal environmental training, are more likely to adopt proactive environmental activities. More concerns from the general public like neighborhood communities and mass media shall be addressed to enhance the normative power to improve EMLp in China from the future perspective.","container-title":"Journal of Environmental Management","DOI":"10.1016/j.jenvman.2010.03.011","ISSN":"0301-4797","issue":"8","journalAbbreviation":"Journal of Environmental Management","language":"en","page":"1707-1717","source":"ScienceDirect","title":"An empirical study on the driving mechanism of proactive corporate environmental management in China","volume":"91","author":[{"family":"Liu","given":"Xianbing"},{"family":"Liu","given":"Beibei"},{"family":"Shishime","given":"Tomohiro"},{"family":"Yu","given":"Qinqin"},{"family":"Bi","given":"Jun"},{"family":"Fujitsuka","given":"Tetsuro"}],"issued":{"date-parts":[["2010",8,1]]}}}],"schema":"https://github.com/citation-style-language/schema/raw/master/csl-citation.json"} </w:instrText>
      </w:r>
      <w:r>
        <w:rPr>
          <w:rFonts w:ascii="Times New Roman" w:hAnsi="Times New Roman"/>
        </w:rPr>
        <w:fldChar w:fldCharType="separate"/>
      </w:r>
      <w:r>
        <w:rPr>
          <w:rFonts w:ascii="Times New Roman" w:hAnsi="Times New Roman"/>
        </w:rPr>
        <w:t>(Liu et al., 2010)</w:t>
      </w:r>
      <w:r>
        <w:rPr>
          <w:rFonts w:ascii="Times New Roman" w:hAnsi="Times New Roman"/>
        </w:rPr>
        <w:fldChar w:fldCharType="end"/>
      </w:r>
      <w:r>
        <w:rPr>
          <w:rFonts w:ascii="Times New Roman" w:hAnsi="Times New Roman"/>
        </w:rPr>
        <w:t xml:space="preserve">. Third, the public media has a greater deterrent effect on environmental pollution behavior through the disclosure of environmental information, making enterprises pay more attention to environmental management </w:t>
      </w:r>
      <w:r>
        <w:rPr>
          <w:rFonts w:ascii="Times New Roman" w:hAnsi="Times New Roman"/>
        </w:rPr>
        <w:fldChar w:fldCharType="begin"/>
      </w:r>
      <w:r>
        <w:rPr>
          <w:rFonts w:ascii="Times New Roman" w:hAnsi="Times New Roman"/>
        </w:rPr>
        <w:instrText xml:space="preserve"> ADDIN ZOTERO_ITEM CSL_CITATION {"citationID":"pUPmxp9L","properties":{"formattedCitation":"(Fan et al., 2020)","plainCitation":"(Fan et al., 2020)","noteIndex":0},"citationItems":[{"id":3419,"uris":["http://zotero.org/users/9299646/items/7ERLML5H"],"itemData":{"id":3419,"type":"article-journal","abstract":"With firms gradually becoming the subject for energy consumption and environment pollution, it is pivotal that they disclose corporate environmental information for social supervision and fulfillment of social responsibility. Thus, it has been a hot topic as to how to improve the quality of corporate environmental information disclosure (EID). Drawing on the data of listed companies in the high-polluting industries between 2014 and 2017 in China, this paper conducts an empirical study on three questions with an in-depth investigation: (1) does the new media environment help in improving corporate EID quality; (2) whether this relationship is influenced by the property ownership of the corporate and local economic pressure; (3) what is the economic consequence of corporate EID. Our findings indicate that new media environment has a significantly positive effect on corporate EID quality, especially to state-owned enterprises. And firms with higher environmental disclosure quality enjoy better firm valuation. These findings help identify new driving factors of corporate EID and confirm that new media environment has performed a supplementary role in regulating corporate environmental behaviors, which can help develop green finance and promote ecological civilization.","container-title":"Journal of Cleaner Production","DOI":"10.1016/j.jclepro.2020.123253","ISSN":"0959-6526","journalAbbreviation":"Journal of Cleaner Production","language":"en","page":"123253","source":"ScienceDirect","title":"New media environment, environmental information disclosure and firm valuation: Evidence from high-polluting enterprises in China","title-short":"New media environment, environmental information disclosure and firm valuation","volume":"277","author":[{"family":"Fan","given":"Liu"},{"family":"Yang","given":"Kaili"},{"family":"Liu","given":"Liping"}],"issued":{"date-parts":[["2020",12,20]]}}}],"schema":"https://github.com/citation-style-language/schema/raw/master/csl-citation.json"} </w:instrText>
      </w:r>
      <w:r>
        <w:rPr>
          <w:rFonts w:ascii="Times New Roman" w:hAnsi="Times New Roman"/>
        </w:rPr>
        <w:fldChar w:fldCharType="separate"/>
      </w:r>
      <w:r>
        <w:rPr>
          <w:rFonts w:ascii="Times New Roman" w:hAnsi="Times New Roman"/>
        </w:rPr>
        <w:t>(Fan et al., 2020)</w:t>
      </w:r>
      <w:r>
        <w:rPr>
          <w:rFonts w:ascii="Times New Roman" w:hAnsi="Times New Roman"/>
        </w:rPr>
        <w:fldChar w:fldCharType="end"/>
      </w:r>
      <w:r>
        <w:rPr>
          <w:rFonts w:ascii="Times New Roman" w:hAnsi="Times New Roman"/>
        </w:rPr>
        <w:t xml:space="preserve">. Its </w:t>
      </w:r>
      <w:r>
        <w:rPr>
          <w:rFonts w:hint="eastAsia" w:ascii="Times New Roman" w:hAnsi="Times New Roman"/>
        </w:rPr>
        <w:t>inf</w:t>
      </w:r>
      <w:r>
        <w:rPr>
          <w:rFonts w:ascii="Times New Roman" w:hAnsi="Times New Roman"/>
        </w:rPr>
        <w:t xml:space="preserve">luencing mechanism can be </w:t>
      </w:r>
      <w:r>
        <w:rPr>
          <w:rFonts w:hint="eastAsia" w:ascii="Times New Roman" w:hAnsi="Times New Roman"/>
        </w:rPr>
        <w:t>ex</w:t>
      </w:r>
      <w:r>
        <w:rPr>
          <w:rFonts w:ascii="Times New Roman" w:hAnsi="Times New Roman"/>
        </w:rPr>
        <w:t>plained from the perspectives of reputation and market pressure. T</w:t>
      </w:r>
      <w:r>
        <w:rPr>
          <w:rFonts w:hint="eastAsia" w:ascii="Times New Roman" w:hAnsi="Times New Roman"/>
        </w:rPr>
        <w:t>he</w:t>
      </w:r>
      <w:r>
        <w:rPr>
          <w:rFonts w:ascii="Times New Roman" w:hAnsi="Times New Roman"/>
        </w:rPr>
        <w:t xml:space="preserve"> former refers to the media disclos</w:t>
      </w:r>
      <w:r>
        <w:rPr>
          <w:rFonts w:hint="eastAsia" w:ascii="Times New Roman" w:hAnsi="Times New Roman"/>
          <w:lang w:val="en-US" w:eastAsia="zh-CN"/>
        </w:rPr>
        <w:t>ing</w:t>
      </w:r>
      <w:r>
        <w:rPr>
          <w:rFonts w:ascii="Times New Roman" w:hAnsi="Times New Roman"/>
        </w:rPr>
        <w:t xml:space="preserve"> enterprises’ </w:t>
      </w:r>
      <w:r>
        <w:rPr>
          <w:rFonts w:hint="eastAsia" w:ascii="Times New Roman" w:hAnsi="Times New Roman"/>
        </w:rPr>
        <w:t>sc</w:t>
      </w:r>
      <w:r>
        <w:rPr>
          <w:rFonts w:ascii="Times New Roman" w:hAnsi="Times New Roman"/>
        </w:rPr>
        <w:t>andals or misconducts, and affect</w:t>
      </w:r>
      <w:r>
        <w:rPr>
          <w:rFonts w:hint="eastAsia" w:ascii="Times New Roman" w:hAnsi="Times New Roman"/>
          <w:lang w:val="en-US" w:eastAsia="zh-CN"/>
        </w:rPr>
        <w:t>ing</w:t>
      </w:r>
      <w:r>
        <w:rPr>
          <w:rFonts w:ascii="Times New Roman" w:hAnsi="Times New Roman"/>
        </w:rPr>
        <w:t xml:space="preserve"> the reputation of enterprises or managers, which would promote the improvement of corporate governance; the latter refers to </w:t>
      </w:r>
      <w:r>
        <w:rPr>
          <w:rFonts w:hint="eastAsia" w:ascii="Times New Roman" w:hAnsi="Times New Roman"/>
        </w:rPr>
        <w:t>the</w:t>
      </w:r>
      <w:r>
        <w:rPr>
          <w:rFonts w:ascii="Times New Roman" w:hAnsi="Times New Roman"/>
        </w:rPr>
        <w:t xml:space="preserve"> media </w:t>
      </w:r>
      <w:r>
        <w:rPr>
          <w:rFonts w:hint="eastAsia" w:ascii="Times New Roman" w:hAnsi="Times New Roman"/>
        </w:rPr>
        <w:t>ex</w:t>
      </w:r>
      <w:r>
        <w:rPr>
          <w:rFonts w:ascii="Times New Roman" w:hAnsi="Times New Roman"/>
        </w:rPr>
        <w:t>ert</w:t>
      </w:r>
      <w:r>
        <w:rPr>
          <w:rFonts w:hint="eastAsia" w:ascii="Times New Roman" w:hAnsi="Times New Roman"/>
          <w:lang w:val="en-US" w:eastAsia="zh-CN"/>
        </w:rPr>
        <w:t>ing</w:t>
      </w:r>
      <w:r>
        <w:rPr>
          <w:rFonts w:ascii="Times New Roman" w:hAnsi="Times New Roman"/>
        </w:rPr>
        <w:t xml:space="preserve"> influence on the capital market by information and comments, then constrain</w:t>
      </w:r>
      <w:r>
        <w:rPr>
          <w:rFonts w:hint="eastAsia" w:ascii="Times New Roman" w:hAnsi="Times New Roman"/>
          <w:lang w:val="en-US" w:eastAsia="zh-CN"/>
        </w:rPr>
        <w:t>ing</w:t>
      </w:r>
      <w:r>
        <w:rPr>
          <w:rFonts w:ascii="Times New Roman" w:hAnsi="Times New Roman"/>
        </w:rPr>
        <w:t xml:space="preserve"> the decision-making behavior of managers, and further </w:t>
      </w:r>
      <w:r>
        <w:rPr>
          <w:rFonts w:hint="eastAsia" w:ascii="Times New Roman" w:hAnsi="Times New Roman"/>
        </w:rPr>
        <w:t>rei</w:t>
      </w:r>
      <w:r>
        <w:rPr>
          <w:rFonts w:ascii="Times New Roman" w:hAnsi="Times New Roman"/>
        </w:rPr>
        <w:t xml:space="preserve">nforce the corporate governance ability </w:t>
      </w:r>
      <w:r>
        <w:rPr>
          <w:rFonts w:ascii="Times New Roman" w:hAnsi="Times New Roman"/>
        </w:rPr>
        <w:fldChar w:fldCharType="begin"/>
      </w:r>
      <w:r>
        <w:rPr>
          <w:rFonts w:ascii="Times New Roman" w:hAnsi="Times New Roman"/>
        </w:rPr>
        <w:instrText xml:space="preserve"> ADDIN ZOTERO_ITEM CSL_CITATION {"citationID":"uvMj1qBd","properties":{"formattedCitation":"(Wu and Memon, 2022)","plainCitation":"(Wu and Memon, 2022)","noteIndex":0},"citationItems":[{"id":4012,"uris":["http://zotero.org/users/9299646/items/UDR3WKSW"],"itemData":{"id":4012,"type":"article-journal","abstract":"Under the Chinese strategy of “carbon peaking and carbon neutrality”, Enterprises’ Environmental Information Disclosure (EEID), as one of the important ways for enterprises to achieve low-carbon development, has gained increased attention from the government, media, investors, and other stakeholders. the EEID is not only an important tool for companies to communicate environmental performance to the outside world, but also an effective way for the government to monitor corporate pollution behavior. Its importance is self-evident. However, relevant research shows that 70% of Chinese listed companies had not implemented the EEID in 2020. Also, there are common problems in the disclosure content and the polarization of the disclosure level among the companies that do disclose. These problems weaken the objectivity and practicability of the EEID and have a negative impact on the government’s environmental supervision, the environmental protection demands of the public, and investors’ decision making. This paper takes listed companies in China’s A-share heavily polluting industries as the research sample to solve the optimization problem of the EEID. By adopting a fixed effects model (FEM), this paper empirically studies the impact of three public pressures on the EEID: government environmental regulation, media attention, and institutional investment preference. Based on China’s unique socialist market economic system, this paper innovatively uses environmental policy uncertainty as a moderator variable. This paper examines the limitations of theoretical research on public pressure and environmental information disclosure by studying the impact of local environmental leadership change on the relationship between public pressure and the EEID. The conclusions of this paper reveal the driving mechanism of how stakeholders such as government, media, and institutional investors influence the EEID. At the same time, it expands the application of public pressure theory in environmental information disclosure research by introducing the perspective of environmental policy uncertainty.","container-title":"Sustainability","DOI":"10.3390/su14126948","ISSN":"2071-1050","issue":"12","language":"en","license":"http://creativecommons.org/licenses/by/3.0/","note":"number: 12\npublisher: Multidisciplinary Digital Publishing Institute","page":"6948","source":"www.mdpi.com","title":"Public Pressure, Environmental Policy Uncertainty, and Enterprises’ Environmental Information Disclosure","volume":"14","author":[{"family":"Wu","given":"Die"},{"family":"Memon","given":"Hafeezullah"}],"issued":{"date-parts":[["2022",1]]}}}],"schema":"https://github.com/citation-style-language/schema/raw/master/csl-citation.json"} </w:instrText>
      </w:r>
      <w:r>
        <w:rPr>
          <w:rFonts w:ascii="Times New Roman" w:hAnsi="Times New Roman"/>
        </w:rPr>
        <w:fldChar w:fldCharType="separate"/>
      </w:r>
      <w:r>
        <w:rPr>
          <w:rFonts w:ascii="Times New Roman" w:hAnsi="Times New Roman"/>
        </w:rPr>
        <w:t>(Wu and Memon, 2022)</w:t>
      </w:r>
      <w:r>
        <w:rPr>
          <w:rFonts w:ascii="Times New Roman" w:hAnsi="Times New Roman"/>
        </w:rPr>
        <w:fldChar w:fldCharType="end"/>
      </w:r>
      <w:r>
        <w:rPr>
          <w:rFonts w:ascii="Times New Roman" w:hAnsi="Times New Roman"/>
        </w:rPr>
        <w:t>. I</w:t>
      </w:r>
      <w:r>
        <w:rPr>
          <w:rFonts w:hint="eastAsia" w:ascii="Times New Roman" w:hAnsi="Times New Roman"/>
        </w:rPr>
        <w:t>n</w:t>
      </w:r>
      <w:r>
        <w:rPr>
          <w:rFonts w:ascii="Times New Roman" w:hAnsi="Times New Roman"/>
        </w:rPr>
        <w:t xml:space="preserve"> addition, public disclosure can significantly raise the ante by pressuring regulators toward more accurate and timely record-keeping. With its credibility on the line in a disclosure program, a regulatory agency has a strong incentive to maintain high internal standards </w:t>
      </w:r>
      <w:r>
        <w:rPr>
          <w:rFonts w:ascii="Times New Roman" w:hAnsi="Times New Roman"/>
        </w:rPr>
        <w:fldChar w:fldCharType="begin"/>
      </w:r>
      <w:r>
        <w:rPr>
          <w:rFonts w:ascii="Times New Roman" w:hAnsi="Times New Roman"/>
        </w:rPr>
        <w:instrText xml:space="preserve"> ADDIN ZOTERO_ITEM CSL_CITATION {"citationID":"orbgH5cK","properties":{"formattedCitation":"(Wang et al., 2004)","plainCitation":"(Wang et al., 2004)","noteIndex":0},"citationItems":[{"id":3310,"uris":["http://zotero.org/users/9299646/items/BTBJAK9U"],"itemData":{"id":3310,"type":"article-journal","abstract":"In this paper we describe a new incentive-based pollution control program in China, in which the environmental performance of firms is rated from best to worst using five colors—green, blue, yellow, red and black—and the ratings are disseminated to the public through the media. We focus on the first two municipal disclosure programs, which have been implemented at very different levels of economic and institutional development. In both cases, the increases in compliance with pollution regulations have been similar to increases produced by public disclosure programs in Indonesia, the Philippines, and Vietnam. The results suggest that incentives created by public disclosure may significantly reduce pollution in China, even though environmental NGO's play little role and there is no formal channel for public participation in environmental regulation.","container-title":"Journal of Environmental Management","DOI":"10.1016/j.jenvman.2004.01.007","ISSN":"0301-4797","issue":"2","journalAbbreviation":"Journal of Environmental Management","language":"en","page":"123-133","source":"ScienceDirect","title":"Environmental performance rating and disclosure: China's Green Watch program","title-short":"Environmental performance rating and disclosure","volume":"71","author":[{"family":"Wang","given":"Hua"},{"family":"Bi","given":"Jun"},{"family":"Wheeler","given":"David"},{"family":"Wang","given":"Jinnan"},{"family":"Cao","given":"Dong"},{"family":"Lu","given":"Genfa"},{"family":"Wang","given":"Yuan"}],"issued":{"date-parts":[["2004",6,1]]}}}],"schema":"https://github.com/citation-style-language/schema/raw/master/csl-citation.json"} </w:instrText>
      </w:r>
      <w:r>
        <w:rPr>
          <w:rFonts w:ascii="Times New Roman" w:hAnsi="Times New Roman"/>
        </w:rPr>
        <w:fldChar w:fldCharType="separate"/>
      </w:r>
      <w:r>
        <w:rPr>
          <w:rFonts w:ascii="Times New Roman" w:hAnsi="Times New Roman"/>
        </w:rPr>
        <w:t>(Wang et al., 2004)</w:t>
      </w:r>
      <w:r>
        <w:rPr>
          <w:rFonts w:ascii="Times New Roman" w:hAnsi="Times New Roman"/>
        </w:rPr>
        <w:fldChar w:fldCharType="end"/>
      </w:r>
      <w:r>
        <w:rPr>
          <w:rFonts w:ascii="Times New Roman" w:hAnsi="Times New Roman"/>
        </w:rPr>
        <w:t xml:space="preserve">. At the same time, information disclosure can encourage the public to participate in environmental regulation, because it makes up for the shortcomings of insufficient information when the public participates in environmental governance </w:t>
      </w:r>
      <w:r>
        <w:rPr>
          <w:rFonts w:ascii="Times New Roman" w:hAnsi="Times New Roman"/>
        </w:rPr>
        <w:fldChar w:fldCharType="begin"/>
      </w:r>
      <w:r>
        <w:rPr>
          <w:rFonts w:ascii="Times New Roman" w:hAnsi="Times New Roman"/>
        </w:rPr>
        <w:instrText xml:space="preserve"> ADDIN ZOTERO_ITEM CSL_CITATION {"citationID":"TAXDcXod","properties":{"formattedCitation":"(Shi et al., 2022b)","plainCitation":"(Shi et al., 2022b)","noteIndex":0},"citationItems":[{"id":4015,"uris":["http://zotero.org/users/9299646/items/QQWGVWDX"],"it</w:instrText>
      </w:r>
      <w:r>
        <w:rPr>
          <w:rFonts w:hint="eastAsia" w:ascii="Times New Roman" w:hAnsi="Times New Roman"/>
        </w:rPr>
        <w:instrText xml:space="preserve">emData":{"id":4015,"type":"article-journal","abstract":"企业环境违法是世界范围内环境管理的普遍问题。为约束企业环境污染行为，我国实行了以环境信息公示为主体的公众监督制度，引导公众参与环境治理，对企业环境污染行为进行监督。本研究采用基于2008年中国污染信息透明度指数公开政策的准自然实验，采用差分法评价公众监督对企业环境违法行为的公开效果，检验其环境利益及其实现路径。我们发现，公共监督制度有利于企业信息披露 环境违法行为。同时，公众监督取得了预期的环境效益，主要是通过降低企业产量来减少污染排放，这种机制对于高污染企业更为明显。","container-title":"Environment and Development Economics","DOI":"10.1017/S1355770X22000304","ISSN":"1355-770X, 1469-4395","language":"en","note":"publisher: Cambridge University Press","page":"1-21","source":"Cambri</w:instrText>
      </w:r>
      <w:r>
        <w:rPr>
          <w:rFonts w:ascii="Times New Roman" w:hAnsi="Times New Roman"/>
        </w:rPr>
        <w:instrText xml:space="preserve">dge University Press","title":"Disclosure of enterprises' environmental violations: evidence from Chinese public supervision","title-short":"Disclosure of enterprises' environmental violations","author":[{"family":"Shi","given":"Beibei"},{"family":"Yang","given":"Fei"},{"family":"Kang","given":"Rong"}],"issued":{"date-parts":[["2022",10,6]]}}}],"schema":"https://github.com/citation-style-language/schema/raw/master/csl-citation.json"} </w:instrText>
      </w:r>
      <w:r>
        <w:rPr>
          <w:rFonts w:ascii="Times New Roman" w:hAnsi="Times New Roman"/>
        </w:rPr>
        <w:fldChar w:fldCharType="separate"/>
      </w:r>
      <w:r>
        <w:rPr>
          <w:rFonts w:ascii="Times New Roman" w:hAnsi="Times New Roman"/>
        </w:rPr>
        <w:t>(Shi et al., 2022b)</w:t>
      </w:r>
      <w:r>
        <w:rPr>
          <w:rFonts w:ascii="Times New Roman" w:hAnsi="Times New Roman"/>
        </w:rPr>
        <w:fldChar w:fldCharType="end"/>
      </w:r>
      <w:r>
        <w:rPr>
          <w:rFonts w:ascii="Times New Roman" w:hAnsi="Times New Roman"/>
        </w:rPr>
        <w:t>.</w:t>
      </w:r>
    </w:p>
    <w:p>
      <w:pPr>
        <w:spacing w:before="156" w:beforeLines="50" w:line="312" w:lineRule="auto"/>
        <w:ind w:firstLine="420"/>
        <w:rPr>
          <w:rFonts w:ascii="Times New Roman" w:hAnsi="Times New Roman" w:cs="Times New Roman Regular"/>
          <w:b/>
          <w:bCs/>
          <w:sz w:val="22"/>
          <w:szCs w:val="28"/>
        </w:rPr>
      </w:pPr>
      <w:r>
        <w:rPr>
          <w:rFonts w:hint="eastAsia" w:ascii="Times New Roman" w:hAnsi="Times New Roman" w:cs="Times New Roman Regular"/>
          <w:b/>
          <w:bCs/>
          <w:sz w:val="22"/>
          <w:szCs w:val="28"/>
        </w:rPr>
        <w:t xml:space="preserve">4 </w:t>
      </w:r>
      <w:r>
        <w:rPr>
          <w:rFonts w:hint="eastAsia" w:ascii="Times New Roman" w:hAnsi="Times New Roman"/>
          <w:b/>
          <w:bCs/>
          <w:sz w:val="22"/>
          <w:szCs w:val="28"/>
        </w:rPr>
        <w:t>Internal factors of enterprise</w:t>
      </w:r>
    </w:p>
    <w:p>
      <w:pPr>
        <w:spacing w:line="312" w:lineRule="auto"/>
        <w:ind w:firstLine="420"/>
        <w:rPr>
          <w:rFonts w:ascii="Times New Roman" w:hAnsi="Times New Roman"/>
        </w:rPr>
      </w:pPr>
      <w:r>
        <w:rPr>
          <w:rFonts w:ascii="Times New Roman" w:hAnsi="Times New Roman"/>
        </w:rPr>
        <w:t xml:space="preserve">The characteristics of the enterprise itself, such as ownership, scale, strategy, </w:t>
      </w:r>
      <w:r>
        <w:rPr>
          <w:rFonts w:hint="eastAsia" w:ascii="Times New Roman" w:hAnsi="Times New Roman"/>
        </w:rPr>
        <w:t>vis</w:t>
      </w:r>
      <w:r>
        <w:rPr>
          <w:rFonts w:ascii="Times New Roman" w:hAnsi="Times New Roman"/>
        </w:rPr>
        <w:t>ion, financial status, resources, etc., are also factors affect</w:t>
      </w:r>
      <w:r>
        <w:rPr>
          <w:rFonts w:hint="eastAsia" w:ascii="Times New Roman" w:hAnsi="Times New Roman"/>
          <w:lang w:val="en-US" w:eastAsia="zh-CN"/>
        </w:rPr>
        <w:t>ing</w:t>
      </w:r>
      <w:r>
        <w:rPr>
          <w:rFonts w:ascii="Times New Roman" w:hAnsi="Times New Roman"/>
        </w:rPr>
        <w:t xml:space="preserve"> enterprises’ environmental management. Among the so many factors, internal driving forces are resulted from </w:t>
      </w:r>
      <w:r>
        <w:rPr>
          <w:rFonts w:hint="eastAsia" w:ascii="Times New Roman" w:hAnsi="Times New Roman"/>
          <w:lang w:val="en-US" w:eastAsia="zh-CN"/>
        </w:rPr>
        <w:t xml:space="preserve">the </w:t>
      </w:r>
      <w:r>
        <w:rPr>
          <w:rFonts w:ascii="Times New Roman" w:hAnsi="Times New Roman"/>
        </w:rPr>
        <w:t xml:space="preserve">company’s internal motivation </w:t>
      </w:r>
      <w:r>
        <w:rPr>
          <w:rFonts w:ascii="Times New Roman" w:hAnsi="Times New Roman"/>
        </w:rPr>
        <w:fldChar w:fldCharType="begin"/>
      </w:r>
      <w:r>
        <w:rPr>
          <w:rFonts w:ascii="Times New Roman" w:hAnsi="Times New Roman"/>
        </w:rPr>
        <w:instrText xml:space="preserve"> ADDIN ZOTERO_ITEM CSL_CITATION {"citationID":"TyBeeZ7D","properties":{"formattedCitation":"(Zeng et al., 2011)","plainCitation":"(Zeng et al., 2011)","noteIndex":0},"citationItems":[{"id":3286,"uris":["http://zotero.org/users/9299646/items/WFR7SHWW"],"itemData":{"id":3286,"type":"article-journal","abstract":"Small- and medium-sized enterprises (SMEs) form the core of societal and economic development. However, most people query on the implementation and performance of environmental management. In this paper, the manufacturing SMEs in Northern China with different pollution levels are studied to explore the main forces (e.g., government, society, market, and enterprise itself) driving SMEs for promoting environmental management. It focuses on the correlation between environmental management and economic performance for SMEs at different pollution levels. The results show that SMEs of different pollution levels have significant differences in the relationship of driving forces and performance. First, for SMEs with high-pollution levels, social and market driving forces and government incentives are revealed having a significant effect on their environmental performance. Driving forces from within the enterprise itself and the market provide a positive effect on the economic performance, while social forces have a negative effect. Second, for SMEs with light pollution, social and market driving forces, and government assistance play a supporting role on corporate environmental performance improvement. It is also found that the driving force of the enterprise itself does not have a significant effect on the environmental performance for SMEs with different pollution levels. In addition, the environmental performance and economic performance for SMEs with high or light-pollution levels are positively correlated. Further, it shows that the environmental performance is moderately correlated with financial indices, but not significantly with the non-financial indices.","container-title":"Journal of Cleaner Production","DOI":"10.1016/j.jclepro.2011.05.002","ISSN":"0959-6526","issue":"13","journalAbbreviation":"Journal of Cleaner Production","language":"en","page":"1426-1437","source":"ScienceDirect","title":"How environmental management driving forces affect environmental and economic performance of SMEs: a study in the Northern China district","title-short":"How environmental management driving forces affect environmental and economic performance of SMEs","volume":"19","author":[{"family":"Zeng","given":"S. X."},{"family":"Meng","given":"X. H."},{"family":"Zeng","given":"R. C."},{"family":"Tam","given":"C. M."},{"family":"Tam","given":"Vivian W. Y."},{"family":"Jin","given":"T."}],"issued":{"date-parts":[["2011",9,1]]}}}],"schema":"https://github.com/citation-style-language/schema/raw/master/csl-citation.json"} </w:instrText>
      </w:r>
      <w:r>
        <w:rPr>
          <w:rFonts w:ascii="Times New Roman" w:hAnsi="Times New Roman"/>
        </w:rPr>
        <w:fldChar w:fldCharType="separate"/>
      </w:r>
      <w:r>
        <w:rPr>
          <w:rFonts w:ascii="Times New Roman" w:hAnsi="Times New Roman"/>
        </w:rPr>
        <w:t>(Zeng et al., 2011)</w:t>
      </w:r>
      <w:r>
        <w:rPr>
          <w:rFonts w:ascii="Times New Roman" w:hAnsi="Times New Roman"/>
        </w:rPr>
        <w:fldChar w:fldCharType="end"/>
      </w:r>
      <w:r>
        <w:rPr>
          <w:rFonts w:ascii="Times New Roman" w:hAnsi="Times New Roman"/>
        </w:rPr>
        <w:t xml:space="preserve">, i.e., seeking to enter the international market, </w:t>
      </w:r>
      <w:r>
        <w:rPr>
          <w:rFonts w:hint="eastAsia" w:ascii="Times New Roman" w:hAnsi="Times New Roman"/>
          <w:lang w:val="en-US" w:eastAsia="zh-CN"/>
        </w:rPr>
        <w:t xml:space="preserve">the </w:t>
      </w:r>
      <w:r>
        <w:rPr>
          <w:rFonts w:ascii="Times New Roman" w:hAnsi="Times New Roman"/>
        </w:rPr>
        <w:t xml:space="preserve">reputation of the enterprise, valuing systems of management, and the corporate environmental responsibility for employees’ health </w:t>
      </w:r>
      <w:r>
        <w:rPr>
          <w:rFonts w:ascii="Times New Roman" w:hAnsi="Times New Roman"/>
        </w:rPr>
        <w:fldChar w:fldCharType="begin"/>
      </w:r>
      <w:r>
        <w:rPr>
          <w:rFonts w:ascii="Times New Roman" w:hAnsi="Times New Roman"/>
        </w:rPr>
        <w:instrText xml:space="preserve"> ADDIN ZOTERO_ITEM CSL_CITATION {"citationID":"NY4hSx4Y","properties":{"formattedCitation":"(Bansal and Hunter, 2003, p. 14001; Egri and Herman, 2000; Roome and Wijen, 2006)","plainCitation":"(Bansal and Hunter, 2003, p. 14001; Egri and Herman, 2000; Roome and Wijen, 2006)","dontUpdate":true,"noteIndex":0},"citationItems":[{"id":3959,"uris":["http://zotero.org/users/9299646/items/GUZWUT5W"],"itemData":{"id":3959,"type":"article-journal","abstract":"The literatures on stakeholder engagement by companies and organizational learning give little consideration to the power (or influence) of stakeholders to affect the process or content of organizational learning. These literatures generally assume that common ground between companies and their stakeholders can be established as a prerequisite for learning, that learning is a quasi-autonomous process unaffected by the motives or power of stakeholders, and that actors have the power to fulfil roles that are critical in fostering learning. The paper seeks to address these omissions, examining how and why stakeholder power and organizational learning interact, drawing on comparative case studies of the environmental management practices found in two major companies. The evidence from these cases suggests a complex relationship between the ambition of company goals, the structure of learning, and the influence of stakeholders on the process and outcomes of learning. Exploitative learning routines were effective when stakeholder influences converged, whereas explorative learning took place without convergence but the implementation of this learning was hampered. We suggest that this raises important issues for companies that seek to undertake both exploitative and explorative learning and that future studies of organizational learning should take more explicit account of the effects of stakeholder power. © 2005 SAGE Publications.","archive":"Scopus","container-title":"Organization Studies","DOI":"10.1177/0170840605057669","ISSN":"1741-3044","issue":"2","language":"en","page":"235-263","source":"Scopus","title":"Stakeholder power and organizational learning in corporate environmental management","volume":"27","author":[{"family":"Roome","given":"N."},{"family":"Wijen","given":"F."}],"issued":{"date-parts":[["2006"]]}}},{"id":3953,"uris":["http://zotero.org/users/9299646/items/QWWNWW5F"],"itemData":{"id":3953,"type":"article-journal","abstract":"There are two different, and somewhat competing, strategic explanations for why firms certify for ISO 14001. On the one hand, firms may seek to reinforce their present strategies thereby further enhancing their competitive advantage. On the other hand, firms may use ISO 14001 as a mechanism to reorient their strategies, so that a clear signal is sent about the firm's change in strategic positioning. This paper aims to identify the most likely explanation for early adopters of ISO 14001. Using a matched pair design, we test these alternative explanations on a sample of US firms that certified for ISO 14001 in the first two years after its introduction. In particular, we tested whether ISO 14001 was used to reinforce or reorient firm strategies in respect to the natural environment, corporate social responsibility, quality, and internationalization. We found that firms that certified early for ISO 14001 had considerable environmental legitimacy and a strong international presence. We also found that the firm's commitment to corporate social responsibility and quality were not significantly different between certified and non-certified firms. These findings suggest that early adopters of ISO 14001 leaned towards reinforcing rather than reorienting their firm strategy, which calls into question the ultimate reach of ISO 14001.","archive":"Scopus","container-title":"Journal of Business Ethics","DOI":"10.1023/A:1025536731830","ISSN":"0167-4544","issue":"3","language":"en","page":"289-299","source":"Scopus","title":"Strategic Explanations for the Early Adoption of ISO 14001","volume":"46","author":[{"family":"Bansal","given":"P."},{"family":"Hunter","given":"T."}],"issued":{"date-parts":[["2003"]]}},"locator":"14001"},{"id":3957,"uris":["http://zotero.org/users/9299646/items/39JTINY8"],"itemData":{"id":3957,"type":"article-journal","abstract":"Interview and questionnaire data obtained from 73 leaders of nonprofit environmentalist and for-profit environmental product and service organizations showed that these leaders' personal values were more ecocentric, open to change, and self-transcendent than those of managers in other types of organizations. These leaders also acted as \"master managers,\" performing both transformational and transactional leadership behaviors. As hypothesized, nonprofit environmentalist organizations were highly receptive contexts for transformational leadership, whereas for-profit environmental organizations were at least moderately receptive in this regard. We used these findings to develop a preliminary model of environmental leadership.","archive":"Scopus","container-title":"Academy of Management Journal","DOI":"10.2307/1556356","ISSN":"0001-4273","issue":"4","language":"en","page":"571-604","source":"Scopus","title":"Leadership in the North American environmental sector: Values, leadership styles, and contexts of environmental leaders and their organizations","title-short":"Leadership in the North American environmental sector","volume":"43","author":[{"family":"Egri","given":"C.P."},{"family":"Herman","given":"S."}],"issued":{"date-parts":[["2000"]]}}}],"schema":"https://github.com/citation-style-language/schema/raw/master/csl-citation.json"} </w:instrText>
      </w:r>
      <w:r>
        <w:rPr>
          <w:rFonts w:ascii="Times New Roman" w:hAnsi="Times New Roman"/>
        </w:rPr>
        <w:fldChar w:fldCharType="separate"/>
      </w:r>
      <w:r>
        <w:rPr>
          <w:rFonts w:ascii="Times New Roman" w:hAnsi="Times New Roman"/>
        </w:rPr>
        <w:t>(Bansal and Hunter, 2003; Egri and Herman, 2000; Roome and Wijen, 2006)</w:t>
      </w:r>
      <w:r>
        <w:rPr>
          <w:rFonts w:ascii="Times New Roman" w:hAnsi="Times New Roman"/>
        </w:rPr>
        <w:fldChar w:fldCharType="end"/>
      </w:r>
      <w:r>
        <w:rPr>
          <w:rFonts w:ascii="Times New Roman" w:hAnsi="Times New Roman"/>
        </w:rPr>
        <w:t xml:space="preserve">. These forces work because environmental pollution prevention can provide better performance to enterprises </w:t>
      </w:r>
      <w:r>
        <w:rPr>
          <w:rFonts w:ascii="Times New Roman" w:hAnsi="Times New Roman"/>
        </w:rPr>
        <w:fldChar w:fldCharType="begin"/>
      </w:r>
      <w:r>
        <w:rPr>
          <w:rFonts w:ascii="Times New Roman" w:hAnsi="Times New Roman"/>
        </w:rPr>
        <w:instrText xml:space="preserve"> ADDIN ZOTERO_ITEM CSL_CITATION {"citationID":"Ui7grz32","properties":{"formattedCitation":"(King and Lenox, 2000)","plainCitation":"(King and Lenox, 2000)","noteIndex":0},"citationItems":[{"id":3966,"uris":["http://zotero.org/users/9299646/items/RMJ6NDB3"],"itemData":{"id":3966,"type":"article-journal","abstract":"Industry self-regulation - the voluntary association of firms to control their collective action - has been proposed as a complement to government regulation. Proponents argue that the establishment of such structures may institutionalize environmental improvement, and critics suggest that without explicit sanctions, such structures will fall victim to opportunistic behavior. In a study of the Chemical Manufacturers Association's Responsible Care Program, we investigate the predictions of these two contradictory perspectives. Our findings highlight the potential for opportunism to overcome the isomorphic pressures of even powerful self-regulatory institutions and suggest that effective industry self-regulation is difficult to maintain without explicit sanctions.","archive":"Scopus","container-title":"Academy of Management Journal","DOI":"10.2307/1556362","ISSN":"0001-4273","issue":"4","language":"en","page":"698-716","source":"Scopus","title":"Industry self-regulation without sanctions: The chemical industry's responsible care program","title-short":"Industry self-regulation without sanctions","volume":"43","author":[{"family":"King","given":"A.A."},{"family":"Lenox","given":"M.J."}],"issued":{"date-parts":[["2000"]]}}}],"schema":"https://github.com/citation-style-language/schema/raw/master/csl-citation.json"} </w:instrText>
      </w:r>
      <w:r>
        <w:rPr>
          <w:rFonts w:ascii="Times New Roman" w:hAnsi="Times New Roman"/>
        </w:rPr>
        <w:fldChar w:fldCharType="separate"/>
      </w:r>
      <w:r>
        <w:rPr>
          <w:rFonts w:ascii="Times New Roman" w:hAnsi="Times New Roman"/>
        </w:rPr>
        <w:t>(King and Lenox, 2000)</w:t>
      </w:r>
      <w:r>
        <w:rPr>
          <w:rFonts w:ascii="Times New Roman" w:hAnsi="Times New Roman"/>
        </w:rPr>
        <w:fldChar w:fldCharType="end"/>
      </w:r>
      <w:r>
        <w:rPr>
          <w:rFonts w:ascii="Times New Roman" w:hAnsi="Times New Roman"/>
        </w:rPr>
        <w:t xml:space="preserve">. When enterprises gain competitive advantages, the strategies of implementing environmental management, </w:t>
      </w:r>
      <w:r>
        <w:rPr>
          <w:rFonts w:hint="eastAsia" w:ascii="Times New Roman" w:hAnsi="Times New Roman"/>
        </w:rPr>
        <w:t>i</w:t>
      </w:r>
      <w:r>
        <w:rPr>
          <w:rFonts w:ascii="Times New Roman" w:hAnsi="Times New Roman"/>
        </w:rPr>
        <w:t xml:space="preserve">.e., clean production technologies, product re-design, change of production process, and improvement of resource utilization </w:t>
      </w:r>
      <w:r>
        <w:rPr>
          <w:rFonts w:ascii="Times New Roman" w:hAnsi="Times New Roman"/>
        </w:rPr>
        <w:fldChar w:fldCharType="begin"/>
      </w:r>
      <w:r>
        <w:rPr>
          <w:rFonts w:ascii="Times New Roman" w:hAnsi="Times New Roman"/>
        </w:rPr>
        <w:instrText xml:space="preserve"> ADDIN ZOTERO_ITEM CSL_CITATION {"citationID":"gjRtatzA","properties":{"formattedCitation":"(Ramus and Steger, 2000; Zeng et al., 2010)","plainCitation":"(Ramus and Steger, 2000; Zeng et al., 2010)","noteIndex":0},"citationItems":[{"id":3978,"uris":["http://zotero.org/users/9299646/items/KX776ZTL"],"itemData":{"id":3978,"type":"article-journal","abstract":"We assessed the relationships of environmental policy and supervisory support behaviors to employee environmental initiatives in leading-edge companies. We developed a behaviorally anchored rating scale instrument based on “learning organization” behaviors. In a survey conducted in European companies, employees used the scale we developed to assess their supervisors' daily behaviors. We analyzed the results using logit econometric analysis and other statistical tools to determine which environmental policy factors and management support behaviors positively related to employee “ecoinitiatives.”","container-title":"Academy of Management Journal","DOI":"10.5465/1556357","ISSN":"0001-4273","issue":"4","journalAbbreviation":"AMJ","language":"en","note":"publisher: Academy of Management","page":"605-626","source":"journals.aom.org (Atypon)","title":"The Roles of Supervisory Support Behaviors and Environmental Policy in Employee “Ecoinitiatives” at Leading-Edge European Companies.","volume":"43","author":[{"family":"Ramus","given":"Catherine A."},{"family":"Steger","given":"Ulrich"}],"issued":{"date-parts":[["2000",8]]}}},{"id":3974,"uris":["http://zotero.org/users/9299646/items/I2MWP3WI"],"itemData":{"id":3974,"type":"article-journal","abstract":"High levels of corporate environmental information disclosure (EID) have become pressing issues due to environmental protection around the world. Corporate EID refers to disclose their information on activities related to the natural environment, environmental protection and use of resource. Emerging economies in developing countries seem to face a formidable task for promoting corporate EID. Based on data of corporate EID for 871 listed manufacturing companies in China, this paper examines the status of corporate EID. The significant difference of selectively disclosing their environmental information for the listed companies is investigated. The relations among the level of EID, industrial sector, company size, and company ownership are also explored. Surprisingly, the result reveals the inverse relationship between the marketization level and corporate EID.","container-title":"Journal of Cleaner Production","DOI":"10.1016/j.jclepro.2010.04.005","ISSN":"0959-6526","issue":"12","journalAbbreviation":"Journal of Cleaner Production","language":"en","page":"1142-1148","source":"ScienceDirect","title":"Towards corporate environmental information disclosure: an empirical study in China","title-short":"Towards corporate environmental information disclosure","volume":"18","author":[{"family":"Zeng","given":"S. X."},{"family":"Xu","given":"X. D."},{"family":"Dong","given":"Z. Y."},{"family":"Tam","given":"Vivian W. Y."}],"issued":{"date-parts":[["2010",8,1]]}}}],"schema":"https://github.com/citation-style-language/schema/raw/master/csl-citation.json"} </w:instrText>
      </w:r>
      <w:r>
        <w:rPr>
          <w:rFonts w:ascii="Times New Roman" w:hAnsi="Times New Roman"/>
        </w:rPr>
        <w:fldChar w:fldCharType="separate"/>
      </w:r>
      <w:r>
        <w:rPr>
          <w:rFonts w:ascii="Times New Roman" w:hAnsi="Times New Roman"/>
        </w:rPr>
        <w:t>(Ramus and Steger, 2000; Zeng et al., 2010)</w:t>
      </w:r>
      <w:r>
        <w:rPr>
          <w:rFonts w:ascii="Times New Roman" w:hAnsi="Times New Roman"/>
        </w:rPr>
        <w:fldChar w:fldCharType="end"/>
      </w:r>
      <w:r>
        <w:rPr>
          <w:rFonts w:ascii="Times New Roman" w:hAnsi="Times New Roman"/>
        </w:rPr>
        <w:t xml:space="preserve">, will be actively adopted. </w:t>
      </w:r>
    </w:p>
    <w:p>
      <w:pPr>
        <w:spacing w:line="312" w:lineRule="auto"/>
        <w:ind w:firstLine="420"/>
        <w:rPr>
          <w:rFonts w:ascii="Times New Roman" w:hAnsi="Times New Roman"/>
        </w:rPr>
      </w:pPr>
      <w:r>
        <w:rPr>
          <w:rFonts w:ascii="Times New Roman" w:hAnsi="Times New Roman"/>
        </w:rPr>
        <w:t>The other factors, like scale, environmental responsibility, manager’s characteristic</w:t>
      </w:r>
      <w:r>
        <w:rPr>
          <w:rFonts w:hint="eastAsia" w:ascii="Times New Roman" w:hAnsi="Times New Roman"/>
          <w:lang w:val="en-US" w:eastAsia="zh-CN"/>
        </w:rPr>
        <w:t>s</w:t>
      </w:r>
      <w:r>
        <w:rPr>
          <w:rFonts w:hint="eastAsia" w:ascii="Times New Roman" w:hAnsi="Times New Roman"/>
        </w:rPr>
        <w:t>,</w:t>
      </w:r>
      <w:r>
        <w:rPr>
          <w:rFonts w:ascii="Times New Roman" w:hAnsi="Times New Roman"/>
        </w:rPr>
        <w:t xml:space="preserve"> </w:t>
      </w:r>
      <w:r>
        <w:rPr>
          <w:rFonts w:hint="eastAsia" w:ascii="Times New Roman" w:hAnsi="Times New Roman"/>
        </w:rPr>
        <w:t>and</w:t>
      </w:r>
      <w:r>
        <w:rPr>
          <w:rFonts w:ascii="Times New Roman" w:hAnsi="Times New Roman"/>
        </w:rPr>
        <w:t xml:space="preserve"> technological level, are regard</w:t>
      </w:r>
      <w:r>
        <w:rPr>
          <w:rFonts w:hint="eastAsia" w:ascii="Times New Roman" w:hAnsi="Times New Roman"/>
          <w:lang w:val="en-US" w:eastAsia="zh-CN"/>
        </w:rPr>
        <w:t>ed</w:t>
      </w:r>
      <w:r>
        <w:rPr>
          <w:rFonts w:ascii="Times New Roman" w:hAnsi="Times New Roman"/>
        </w:rPr>
        <w:t xml:space="preserve"> as </w:t>
      </w:r>
      <w:r>
        <w:rPr>
          <w:rFonts w:hint="eastAsia" w:ascii="Times New Roman" w:hAnsi="Times New Roman"/>
        </w:rPr>
        <w:t>the</w:t>
      </w:r>
      <w:r>
        <w:rPr>
          <w:rFonts w:ascii="Times New Roman" w:hAnsi="Times New Roman"/>
        </w:rPr>
        <w:t xml:space="preserve"> key factors to affect firms’ environmental behaviors </w:t>
      </w:r>
      <w:r>
        <w:rPr>
          <w:rFonts w:ascii="Times New Roman" w:hAnsi="Times New Roman"/>
        </w:rPr>
        <w:fldChar w:fldCharType="begin"/>
      </w:r>
      <w:r>
        <w:rPr>
          <w:rFonts w:ascii="Times New Roman" w:hAnsi="Times New Roman"/>
        </w:rPr>
        <w:instrText xml:space="preserve"> ADDIN ZOTERO_ITEM CSL_CITATION {"citationID":"Po0PPdSj","properties":{"formattedCitation":"(Zeng et al., 2005)","plainCitation":"(Zeng et al., 2005)","noteIndex":0},"citationItems":[{"id":3277,"uris":["http://zotero.org/users/9299646/items/DNIPPTW7"],"itemData":{"id":3277,"type":"article-journal","abstract":"China has undergone rapid changes since adoption of the reform and opening policy in 1978. Meanwhile, China has paid a great cost; e.g. severe environmental deterioration making it one of the most endangered urban and rural environments in the world. In improving the environment, China has taken a number of possible measures including promotion of ISO 14001. To investigate the implementation status of ISO 14001 and its impact on enterprises in China, a structured questionnaire survey has been conducted. The result indicates that the major motivation for the system was to seek entrance to the international market. The other benefits are: standardization of environmental management procedures for internal operations; saving resources and reducing wastage for corporate management; improving corporate image (CI) for marketing effects; enhancing environmental awareness of suppliers for supplier relations. Using relative importance analysis, the study identifies the critical factors affecting implementation of the standards. The top five out of 27 factors are: (1) environmental consciousness of top leaders; (2) environmental consciousness of middle management; (3) well-defined responsibility for environmental management; (4) legal system; and (5) legal enforcement. Based on the analysis and discussion, the study concludes that the Chinese government should take the lead in improving the legal framework, providing financial support and training to promote ISO 14001 to the Chinese enterprises.","container-title":"Journal of Cleaner Production","DOI":"10.1016/j.jclepro.2003.12.009","ISSN":"0959-6526","issue":"7","journalAbbreviation":"Journal of Cleaner Production","language":"en","page":"645-656","source":"ScienceDirect","title":"Towards implementation of ISO 14001 environmental management systems in selected industries in China","volume":"13","author":[{"family":"Zeng","given":"S. X."},{"family":"Tam","given":"C. M."},{"family":"Tam","given":"Vivian W. Y."},{"family":"Deng","given":"Z. M."}],"issued":{"date-parts":[["2005",6,1]]}}}],"schema":"https://github.com/citation-style-language/schema/raw/master/csl-citation.json"} </w:instrText>
      </w:r>
      <w:r>
        <w:rPr>
          <w:rFonts w:ascii="Times New Roman" w:hAnsi="Times New Roman"/>
        </w:rPr>
        <w:fldChar w:fldCharType="separate"/>
      </w:r>
      <w:r>
        <w:rPr>
          <w:rFonts w:ascii="Times New Roman" w:hAnsi="Times New Roman"/>
        </w:rPr>
        <w:t>(Zeng et al., 2005)</w:t>
      </w:r>
      <w:r>
        <w:rPr>
          <w:rFonts w:ascii="Times New Roman" w:hAnsi="Times New Roman"/>
        </w:rPr>
        <w:fldChar w:fldCharType="end"/>
      </w:r>
      <w:r>
        <w:rPr>
          <w:rFonts w:ascii="Times New Roman" w:hAnsi="Times New Roman"/>
        </w:rPr>
        <w:t xml:space="preserve">. For example, Both </w:t>
      </w:r>
      <w:r>
        <w:rPr>
          <w:rFonts w:ascii="Times New Roman" w:hAnsi="Times New Roman"/>
        </w:rPr>
        <w:fldChar w:fldCharType="begin"/>
      </w:r>
      <w:r>
        <w:rPr>
          <w:rFonts w:ascii="Times New Roman" w:hAnsi="Times New Roman"/>
        </w:rPr>
        <w:instrText xml:space="preserve"> ADDIN ZOTERO_ITEM CSL_CITATION {"citationID":"536kYuPe","properties":{"formattedCitation":"(Zhang et al., 2008)","plainCitation":"(Zhang et al., 2008)","dontUpdate":true,"noteIndex":0},"citationItems":[{"id":3228,"uris":["http://zotero.org/users/9299646/items/BFRXPNQ6"],"itemData":{"id":3228,"type":"article-journal","abstract":"There are increasing pressures being put on firms, from a number of different sources, such as governmental regulation, community participation and market demand, to engage firms in environmental initiatives. These factors play different roles at various development periods. Government regulation was the major pressure, initially. However, community participation and market demand have become more and more important. Thus a better understanding of the determinant factors that play a role in engaging firms to take environmental management initiatives may help policy makers develop more effective environmental policies. Using data collected from 89 firms in Wujin county of Jiangsu Province, China, this paper developed an index system to evaluate the corporate environmental management performance. Furthermore, we used econometric methodology to identify the main factors that probably shape corporate environmental management performance, including both external pressures and firm characteristics. The results showed that pressures from supply chain, customers, and communities played positive roles in engaging firms to improve environmental management performance. However, the pressure from the regulatory system did not implicate positive effect on environmental management performance when basic compliance is not an issue in the region anymore. The results also showed that firms with larger scale will be more active in engaging in environmental management initiatives. Finally, our results suggest that: (a) regulation's stimulation may be reduced as long as firms have complied with requirements of local environmental standards and other environmental laws; (b) policy makers should pay more attention to market and information instruments; (c) more financial and technical support should be provided to encourage small- and medium-sized enterprises (SMEs) to improve environmental performance.","container-title":"Journal of Cleaner Production","DOI":"10.1016/j.jclepro.2007.06.016","ISSN":"0959-6526","issue":"10","journalAbbreviation":"Journal of Cleaner Production","language":"en","page":"1036-1045","source":"ScienceDirect","title":"Why do firms engage in environmental management? An empirical study in China","title-short":"Why do firms engage in environmental management?","volume":"16","author":[{"family":"Zhang","given":"Bing"},{"family":"Bi","given":"Jun"},{"family":"Yuan","given":"Zengwei"},{"family":"Ge","given":"Junjie"},{"family":"Liu","given":"Beibei"},{"family":"Bu","given":"Maoliang"}],"issued":{"date-parts":[["2008",7,1]]}}}],"schema":"https://github.com/citation-style-language/schema/raw/master/csl-citation.json"} </w:instrText>
      </w:r>
      <w:r>
        <w:rPr>
          <w:rFonts w:ascii="Times New Roman" w:hAnsi="Times New Roman"/>
        </w:rPr>
        <w:fldChar w:fldCharType="separate"/>
      </w:r>
      <w:r>
        <w:rPr>
          <w:rFonts w:ascii="Times New Roman" w:hAnsi="Times New Roman"/>
        </w:rPr>
        <w:t>Zhang et al. (2008)</w:t>
      </w:r>
      <w:r>
        <w:rPr>
          <w:rFonts w:ascii="Times New Roman" w:hAnsi="Times New Roman"/>
        </w:rPr>
        <w:fldChar w:fldCharType="end"/>
      </w:r>
      <w:r>
        <w:rPr>
          <w:rFonts w:ascii="Times New Roman" w:hAnsi="Times New Roman"/>
        </w:rPr>
        <w:t xml:space="preserve"> and </w:t>
      </w:r>
      <w:r>
        <w:rPr>
          <w:rFonts w:ascii="Times New Roman" w:hAnsi="Times New Roman"/>
        </w:rPr>
        <w:fldChar w:fldCharType="begin"/>
      </w:r>
      <w:r>
        <w:rPr>
          <w:rFonts w:ascii="Times New Roman" w:hAnsi="Times New Roman"/>
        </w:rPr>
        <w:instrText xml:space="preserve"> ADDIN ZOTERO_ITEM CSL_CITATION {"citationID":"rBlsMitG","properties":{"formattedCitation":"(Zhang et al., 2009)","plainCitation":"(Zhang et al., 2009)","dontUpdate":true,"noteIndex":0},"citationItems":[{"id":3241,"uris":["http://zotero.org/users/9299646/items/E4KUZYW5"],"itemData":{"id":3241,"type":"article-journal","abstract":"Small- and medium-sized enterprises (SMEs) play an important role in sustainable development not only for their significant contribution to China’s economy, but also for their large share of total discharged pollutants. Therefore, this research takes the enterprises in Suzhou Industrial Park, China as the case study to investigate the environmental management practices of SMEs, and identify drivers and barriers to engaging businesses in environmental management initiatives. It is shown that, as in other countries, SMEs are less active in adopting environmental management initiatives than larger companies. Legislation remains the key driver to engage SMEs in environmental management initiatives. Based on the analysis, policy recommendations are also presented.","container-title":"Frontiers of Environmental Science &amp; Engineering in China","DOI":"10.1007/s11783-009-0014-7","ISSN":"1673-7520","issue":"2","journalAbbreviation":"Front. Environ. Sci. Eng. China","language":"en","page":"210-220","source":"Springer Link","title":"Drivers and barriers to engage enterprises in environmental management initiatives in Suzhou Industrial Park, China","volume":"3","author":[{"family":"Zhang","given":"Bing"},{"family":"Bi","given":"Jun"},{"family":"Liu","given":"Beibei"}],"issued":{"date-parts":[["2009",6,1]]}}}],"schema":"https://github.com/citation-style-language/schema/raw/master/csl-citation.json"} </w:instrText>
      </w:r>
      <w:r>
        <w:rPr>
          <w:rFonts w:ascii="Times New Roman" w:hAnsi="Times New Roman"/>
        </w:rPr>
        <w:fldChar w:fldCharType="separate"/>
      </w:r>
      <w:r>
        <w:rPr>
          <w:rFonts w:ascii="Times New Roman" w:hAnsi="Times New Roman"/>
        </w:rPr>
        <w:t>Zhang et al. (2009)</w:t>
      </w:r>
      <w:r>
        <w:rPr>
          <w:rFonts w:ascii="Times New Roman" w:hAnsi="Times New Roman"/>
        </w:rPr>
        <w:fldChar w:fldCharType="end"/>
      </w:r>
      <w:r>
        <w:rPr>
          <w:rFonts w:ascii="Times New Roman" w:hAnsi="Times New Roman"/>
        </w:rPr>
        <w:t xml:space="preserve"> ’s research on Wujin County and Suzhou Industrial Park in Jiangsu Province respectively show that large-scale enterprises are more active in promoting environmental management plans compared with small and medium-sized ones. </w:t>
      </w:r>
      <w:r>
        <w:rPr>
          <w:rFonts w:ascii="Times New Roman" w:hAnsi="Times New Roman"/>
        </w:rPr>
        <w:fldChar w:fldCharType="begin"/>
      </w:r>
      <w:r>
        <w:rPr>
          <w:rFonts w:ascii="Times New Roman" w:hAnsi="Times New Roman"/>
        </w:rPr>
        <w:instrText xml:space="preserve"> ADDIN ZOTERO_ITEM CSL_CITATION {"citationID":"wuhNue1t","properties":{"formattedCitation":"(Hu et al., 2018)","plainCitation":"(Hu et al., 2018)","dontUpdate":true,"noteIndex":0},"citationItems":[{"id":3291,"uris":["http://zotero.org/users/9299646/items/6ZBT9WA2"],"itemData":{"id":3291,"type":"article-journal","abstract":"Using a large panel of listed firms in China from 2010 to 2015, this study investigates the valuation effect of corporate environmental responsibility (CER) and firm characteristics that influence such an effect. We implement the ordinary least squares and the fixed effects panel regressions as well as the two-stage least squares regressions that control for potential endogeneity. We find that CER has a significantly positive effect on firm performance. The positive effect is more pronounced for firms in highly polluting industries, with high asset tangibility and with low state ownership. Furthermore, firms with high ownership concentration and low managerial ownership tend to benefit more from their environmentally responsible activities, suggesting that enhanced environmental engagement may serve as a strategic tool in reducing the negative effects of agency cost and weak corporate governance on firm valuation. Our results are robust to alternative measures of performance (Tobin's Q and return on assets).","container-title":"Corporate Social Responsibility and Environmental Management","DOI":"10.1002/csr.1646","ISSN":"1535-3966","issue":"6","language":"en","note":"_eprint: https://onlinelibrary.wiley.com/doi/pdf/10.1002/csr.1646","page":"1376-1387","source":"Wiley Online Library","title":"Environmental responsibility, market valuation, and firm characteristics: Evidence from China","title-short":"Environmental responsibility, market valuation, and firm characteristics","volume":"25","author":[{"family":"Hu","given":"Junnan"},{"family":"Wang","given":"Shujing"},{"family":"Xie","given":"Feixue"}],"issued":{"date-parts":[["2018"]]}}}],"schema":"https://github.com/citation-style-language/schema/raw/master/csl-citation.json"} </w:instrText>
      </w:r>
      <w:r>
        <w:rPr>
          <w:rFonts w:ascii="Times New Roman" w:hAnsi="Times New Roman"/>
        </w:rPr>
        <w:fldChar w:fldCharType="separate"/>
      </w:r>
      <w:r>
        <w:rPr>
          <w:rFonts w:ascii="Times New Roman" w:hAnsi="Times New Roman"/>
        </w:rPr>
        <w:t>Hu et al. (2018)</w:t>
      </w:r>
      <w:r>
        <w:rPr>
          <w:rFonts w:ascii="Times New Roman" w:hAnsi="Times New Roman"/>
        </w:rPr>
        <w:fldChar w:fldCharType="end"/>
      </w:r>
      <w:r>
        <w:rPr>
          <w:rFonts w:ascii="Times New Roman" w:hAnsi="Times New Roman"/>
        </w:rPr>
        <w:t xml:space="preserve"> found that corporate environmental responsibility has a significantly positive effect on firm performance, and </w:t>
      </w:r>
      <w:r>
        <w:rPr>
          <w:rFonts w:hint="eastAsia" w:ascii="Times New Roman" w:hAnsi="Times New Roman"/>
        </w:rPr>
        <w:t>t</w:t>
      </w:r>
      <w:r>
        <w:rPr>
          <w:rFonts w:ascii="Times New Roman" w:hAnsi="Times New Roman"/>
        </w:rPr>
        <w:t xml:space="preserve">he positive effect is more pronounced for firms in highly polluting industries, with high asset tangibility and low state ownership. According to </w:t>
      </w:r>
      <w:r>
        <w:rPr>
          <w:rFonts w:ascii="Times New Roman" w:hAnsi="Times New Roman"/>
        </w:rPr>
        <w:fldChar w:fldCharType="begin"/>
      </w:r>
      <w:r>
        <w:rPr>
          <w:rFonts w:ascii="Times New Roman" w:hAnsi="Times New Roman"/>
        </w:rPr>
        <w:instrText xml:space="preserve"> ADDIN ZOTERO_ITEM CSL_CITATION {"citationID":"oWqN5g3G","properties":{"formattedCitation":"(F. Wang et al., 2015)","plainCitation":"(F. Wang et al., 2015)","dontUpdate":true,"noteIndex":0},"citationItems":[{"id":3406,"uris":["http://zotero.org/users/9299646/items/9TAMW6EG"],"itemData":{"id":3406,"type":"article-journal","abstract":"Air pollution is a major health hazard in China and a serious focus of governmental concern. To reduce the levels of air pollution will take a strategic realignment of priorities for all of the major players responsible for monitoring and implementing environmental controls to air emissions. Gaining and maintaining compliance of on-the-ground company directors and managers is essential to adequate pollution control, but to date little is known about how managers of heavily polluting companies view pro-environmental measures in their company operation. This paper identifies common characteristics of managers in heavy polluting industries, and measures the impact these characteristics have on corporate environmental behavior based on the survey data that was collected in 2013 from sixty energy companies in China's Shaanxi Province. Personal characteristics of these managers include age, gender, place of birth, level of education, average monthly household income, department, position, environmental awareness, and environmental behavior. Empirical results show that 33.5% of managers that belong to companies with high corporate environmental behavior scores also have the highest level of environmental awareness and environmental behavior. Managers' environmental behavior, awareness and education are significantly positively correlated to corporate environmental behavior. The research also discovered that managers' seniority is positively correlated with corporate environmental behavior, which indicates that senior managers have higher environmental awareness and knowledge. The paper concluded that distinct differences between senior management types related to their core underlying values and these differences matter both for environmental protection and training. Understanding how company directors and managers view their roles in relationship to company environmental protection will require a nuanced approach that rejects a simple uni-dimensional conceptualization of company managers' relationship to environmental implementation. By extension, a “single-service” educational approach will also need to be rejected since one message aimed at one set of values will not tap into the range of environmental motivations and values currently held by those in management positions and therefore will be less effective than training approaches that are targeted at specific types of managers.","container-title":"Journal of Cleaner Production","DOI":"10.1016/j.jclepro.2015.09.059","ISSN":"0959-6526","journalAbbreviation":"Journal of Cleaner Production","language":"en","page":"707-715","source":"ScienceDirect","title":"Impact of manager characteristics on corporate environmental behavior at heavy-polluting firms in Shaanxi, China","volume":"108","author":[{"family":"Wang","given":"Feng"},{"family":"Cheng","given":"Zhihua"},{"family":"Keung","given":"Christine"},{"family":"Reisner","given":"Ann"}],"issued":{"date-parts":[["2015",12,1]]}}}],"schema":"https://github.com/citation-style-language/schema/raw/master/csl-citation.json"} </w:instrText>
      </w:r>
      <w:r>
        <w:rPr>
          <w:rFonts w:ascii="Times New Roman" w:hAnsi="Times New Roman"/>
        </w:rPr>
        <w:fldChar w:fldCharType="separate"/>
      </w:r>
      <w:r>
        <w:rPr>
          <w:rFonts w:ascii="Times New Roman" w:hAnsi="Times New Roman"/>
        </w:rPr>
        <w:t>Wang et al. (2015)</w:t>
      </w:r>
      <w:r>
        <w:rPr>
          <w:rFonts w:ascii="Times New Roman" w:hAnsi="Times New Roman"/>
        </w:rPr>
        <w:fldChar w:fldCharType="end"/>
      </w:r>
      <w:r>
        <w:rPr>
          <w:rFonts w:ascii="Times New Roman" w:hAnsi="Times New Roman"/>
        </w:rPr>
        <w:t xml:space="preserve">’s survey of 60 energy companies in Shaanxi Province, 33.5% of the managers of enterprises with high environmental </w:t>
      </w:r>
      <w:r>
        <w:rPr>
          <w:rFonts w:hint="eastAsia" w:ascii="Times New Roman" w:hAnsi="Times New Roman"/>
        </w:rPr>
        <w:t>perfor</w:t>
      </w:r>
      <w:r>
        <w:rPr>
          <w:rFonts w:ascii="Times New Roman" w:hAnsi="Times New Roman"/>
        </w:rPr>
        <w:t xml:space="preserve">mance scores also had the highest level of environmental awareness and environmental behavior. </w:t>
      </w:r>
      <w:r>
        <w:rPr>
          <w:rFonts w:ascii="Times New Roman" w:hAnsi="Times New Roman"/>
        </w:rPr>
        <w:fldChar w:fldCharType="begin"/>
      </w:r>
      <w:r>
        <w:rPr>
          <w:rFonts w:ascii="Times New Roman" w:hAnsi="Times New Roman"/>
        </w:rPr>
        <w:instrText xml:space="preserve"> ADDIN ZOTERO_ITEM CSL_CITATION {"citationID":"kvVyVLUJ","properties":{"formattedCitation":"(Yi Wang et al., 2015)","plainCitation":"(Yi Wang et al., 2015)","dontUpdate":true,"noteIndex":0},"citationItems":[{"id":3244,"uris":["http://zotero.org/users/9299646/items/EUF4BL76"],"itemData":{"id":3244,"type":"article-journal","abstract":"Information technology (IT) can be the problem and solution for environmental sustainability. While IT is a source of environmental contamination during manufacturing and disposal, IT also presents opportunities for firms to greening IT and/or increasing their efficiency of resource use. We examine the role of IT as a solution possibility for environmental management and sustainability by analyzing how IT influences environmental performance. We propose a model in which IT influences environmental performance by enabling the integration of IT in environmental management processes. The proposed model is tested by using the variance-based structural equation modeling technique with matched-pair survey data from a sample of 151 Chinese firms. We find that: (1) Firm's proficiency in leveraging IT technical infrastructure flexibility, IT personnel skills and IT-business alignment enables the integration of IT in the environmental management processes to improve environmental performance, and (2) this IT integration is stronger when the firm is more oriented to environmental sustainability. We introduce to information systems community the construct IT-environmental management integration, and we explain theoretically and test empirically the role of IT-environmental management integration as a key mechanism through which IT competence influences environmental performance.","container-title":"International Journal of Information Management","DOI":"10.1016/j.ijinfomgt.2014.11.005","ISSN":"0268-4012","issue":"2","journalAbbreviation":"International Journal of Information Management","language":"en","page":"160-170","source":"ScienceDirect","title":"How information technology influences environmental performance: Empirical evidence from China","title-short":"How information technology influences environmental performance","volume":"35","author":[{"family":"Wang","given":"Yi"},{"family":"Chen","given":"Yang"},{"family":"Benitez-Amado","given":"Jose"}],"issued":{"date-parts":[["2015",4,1]]}}}],"schema":"https://github.com/citation-style-language/schema/raw/master/csl-citation.json"} </w:instrText>
      </w:r>
      <w:r>
        <w:rPr>
          <w:rFonts w:ascii="Times New Roman" w:hAnsi="Times New Roman"/>
        </w:rPr>
        <w:fldChar w:fldCharType="separate"/>
      </w:r>
      <w:r>
        <w:rPr>
          <w:rFonts w:ascii="Times New Roman" w:hAnsi="Times New Roman"/>
        </w:rPr>
        <w:t>Wang et al. (2015)</w:t>
      </w:r>
      <w:r>
        <w:rPr>
          <w:rFonts w:ascii="Times New Roman" w:hAnsi="Times New Roman"/>
        </w:rPr>
        <w:fldChar w:fldCharType="end"/>
      </w:r>
      <w:r>
        <w:rPr>
          <w:rFonts w:ascii="Times New Roman" w:hAnsi="Times New Roman"/>
        </w:rPr>
        <w:t xml:space="preserve"> found that firm</w:t>
      </w:r>
      <w:r>
        <w:rPr>
          <w:rFonts w:hint="eastAsia" w:ascii="Times New Roman" w:hAnsi="Times New Roman"/>
          <w:lang w:val="en-US" w:eastAsia="zh-CN"/>
        </w:rPr>
        <w:t>s</w:t>
      </w:r>
      <w:r>
        <w:rPr>
          <w:rFonts w:ascii="Times New Roman" w:hAnsi="Times New Roman"/>
        </w:rPr>
        <w:t xml:space="preserve">’ proficiency in leveraging IT technical infrastructure flexibility, IT personnel skills and IT-business alignment enables the integration of IT in the environmental management processes to improve environmental performance, and this IT integration is stronger when the firm is more oriented to environmental sustainability. </w:t>
      </w:r>
    </w:p>
    <w:p>
      <w:pPr>
        <w:spacing w:line="312" w:lineRule="auto"/>
        <w:ind w:firstLine="420"/>
        <w:rPr>
          <w:rFonts w:ascii="Times New Roman" w:hAnsi="Times New Roman"/>
        </w:rPr>
      </w:pPr>
      <w:r>
        <w:rPr>
          <w:rFonts w:ascii="Times New Roman" w:hAnsi="Times New Roman"/>
        </w:rPr>
        <w:t>F</w:t>
      </w:r>
      <w:r>
        <w:rPr>
          <w:rFonts w:hint="eastAsia" w:ascii="Times New Roman" w:hAnsi="Times New Roman"/>
        </w:rPr>
        <w:t>urther</w:t>
      </w:r>
      <w:r>
        <w:rPr>
          <w:rFonts w:ascii="Times New Roman" w:hAnsi="Times New Roman"/>
        </w:rPr>
        <w:t>more, Corporate political capital, representing a close relation to the government or politicians, may bring benefits such as preferential treatments, lighter taxation, relaxed regulat</w:t>
      </w:r>
      <w:r>
        <w:rPr>
          <w:rFonts w:hint="eastAsia" w:ascii="Times New Roman" w:hAnsi="Times New Roman"/>
          <w:lang w:val="en-US" w:eastAsia="zh-CN"/>
        </w:rPr>
        <w:t>ion</w:t>
      </w:r>
      <w:r>
        <w:rPr>
          <w:rFonts w:ascii="Times New Roman" w:hAnsi="Times New Roman"/>
        </w:rPr>
        <w:t xml:space="preserve">, stiffer regulatory enforcement over their rivals, and other useful resources </w:t>
      </w:r>
      <w:r>
        <w:rPr>
          <w:rFonts w:ascii="Times New Roman" w:hAnsi="Times New Roman"/>
        </w:rPr>
        <w:fldChar w:fldCharType="begin"/>
      </w:r>
      <w:r>
        <w:rPr>
          <w:rFonts w:ascii="Times New Roman" w:hAnsi="Times New Roman"/>
        </w:rPr>
        <w:instrText xml:space="preserve"> ADDIN ZOTERO_ITEM CSL_CITATION {"citationID":"nEMkzfpL","properties":{"formattedCitation":"(Faccio, 2010; Fisman, 2001)","plainCitation":"(Faccio, 2010; Fisman, 2001)","noteIndex":0},"citationItems":[{"id":3984,"uris":["http://zotero.org/users/9299646/items/3DQZ9KRY"],"itemData":{"id":3984,"type":"article-journal","abstract":"Evidence from firms in 47 countries shows that companies with political connections have higher leverage and higher market shares, but they underperform compared to nonconnected companies on an accounting basis. Differences between connected and unconnected firms are more pronounced when political links are stronger. Differences also vary depending on the level of corruption and the degree of economic development in individual countries.","container-title":"Financial Management","DOI":"10.1111/j.1755-053X.2010.01099.x","ISSN":"1755-053X","issue":"3","language":"en","note":"_eprint: https://onlinelibrary.wiley.com/doi/pdf/10.1111/j.1755-053X.2010.01099.x","page":"905-928","source":"Wiley Online Library","title":"Differences between Politically Connected and Nonconnected Firms: A Cross-Country Analysis","title-short":"Differences between Politically Connected and Nonconnected Firms","volume":"39","author":[{"family":"Faccio","given":"Mara"}],"issued":{"date-parts":[["2010"]]}}},{"id":3981,"uris":["http://zotero.org/users/9299646/items/LMNVB28U"],"itemData":{"id":3981,"type":"article-journal","container-title":"American Economic Review","DOI":"10.1257/aer.91.4.1095","ISSN":"0002-8282","issue":"4","language":"en","page":"1095-1102","source":"www.aeaweb.org","title":"Estimating the Value of Political Connections","volume":"91","author":[{"family":"Fisman","given":"Raymond"}],"issued":{"date-parts":[["2001",9]]}}}],"schema":"https://github.com/citation-style-language/schema/raw/master/csl-citation.json"} </w:instrText>
      </w:r>
      <w:r>
        <w:rPr>
          <w:rFonts w:ascii="Times New Roman" w:hAnsi="Times New Roman"/>
        </w:rPr>
        <w:fldChar w:fldCharType="separate"/>
      </w:r>
      <w:r>
        <w:rPr>
          <w:rFonts w:ascii="Times New Roman" w:hAnsi="Times New Roman"/>
        </w:rPr>
        <w:t>(Faccio, 2010; Fisman, 2001)</w:t>
      </w:r>
      <w:r>
        <w:rPr>
          <w:rFonts w:ascii="Times New Roman" w:hAnsi="Times New Roman"/>
        </w:rPr>
        <w:fldChar w:fldCharType="end"/>
      </w:r>
      <w:r>
        <w:rPr>
          <w:rFonts w:ascii="Times New Roman" w:hAnsi="Times New Roman"/>
        </w:rPr>
        <w:t xml:space="preserve">. Especially in China, political capital is viewed as a valuable resource, because it can support green innovation and environmental management </w:t>
      </w:r>
      <w:r>
        <w:rPr>
          <w:rFonts w:hint="eastAsia" w:ascii="Times New Roman" w:hAnsi="Times New Roman"/>
          <w:lang w:val="en-US" w:eastAsia="zh-CN"/>
        </w:rPr>
        <w:t>through</w:t>
      </w:r>
      <w:r>
        <w:rPr>
          <w:rFonts w:ascii="Times New Roman" w:hAnsi="Times New Roman"/>
        </w:rPr>
        <w:t xml:space="preserve"> </w:t>
      </w:r>
      <w:r>
        <w:rPr>
          <w:rFonts w:hint="eastAsia" w:ascii="Times New Roman" w:hAnsi="Times New Roman"/>
        </w:rPr>
        <w:t>fi</w:t>
      </w:r>
      <w:r>
        <w:rPr>
          <w:rFonts w:ascii="Times New Roman" w:hAnsi="Times New Roman"/>
        </w:rPr>
        <w:t xml:space="preserve">nancial and </w:t>
      </w:r>
      <w:r>
        <w:rPr>
          <w:rFonts w:hint="eastAsia" w:ascii="Times New Roman" w:hAnsi="Times New Roman"/>
        </w:rPr>
        <w:t>taxation</w:t>
      </w:r>
      <w:r>
        <w:rPr>
          <w:rFonts w:ascii="Times New Roman" w:hAnsi="Times New Roman"/>
        </w:rPr>
        <w:t xml:space="preserve"> </w:t>
      </w:r>
      <w:r>
        <w:rPr>
          <w:rFonts w:hint="eastAsia" w:ascii="Times New Roman" w:hAnsi="Times New Roman"/>
        </w:rPr>
        <w:t>polic</w:t>
      </w:r>
      <w:r>
        <w:rPr>
          <w:rFonts w:hint="eastAsia" w:ascii="Times New Roman" w:hAnsi="Times New Roman"/>
          <w:lang w:val="en-US" w:eastAsia="zh-CN"/>
        </w:rPr>
        <w:t>ies</w:t>
      </w:r>
      <w:r>
        <w:rPr>
          <w:rFonts w:ascii="Times New Roman" w:hAnsi="Times New Roman"/>
        </w:rPr>
        <w:t>, such as tax exemption</w:t>
      </w:r>
      <w:r>
        <w:rPr>
          <w:rFonts w:hint="eastAsia" w:ascii="Times New Roman" w:hAnsi="Times New Roman"/>
        </w:rPr>
        <w:t>,</w:t>
      </w:r>
      <w:r>
        <w:rPr>
          <w:rFonts w:ascii="Times New Roman" w:hAnsi="Times New Roman"/>
        </w:rPr>
        <w:t xml:space="preserve"> funding support, project subsidies, interest-free government loans, and so on </w:t>
      </w:r>
      <w:r>
        <w:rPr>
          <w:rFonts w:ascii="Times New Roman" w:hAnsi="Times New Roman"/>
        </w:rPr>
        <w:fldChar w:fldCharType="begin"/>
      </w:r>
      <w:r>
        <w:rPr>
          <w:rFonts w:ascii="Times New Roman" w:hAnsi="Times New Roman"/>
        </w:rPr>
        <w:instrText xml:space="preserve"> ADDIN ZOTERO_ITEM CSL_CITATION {"citationID":"7Tx8sVoq","properties":{"formattedCitation":"(Lin et al., 2014)","plainCitation":"(Lin et al., 2014)","noteIndex":0},"citationItems":[{"id":3441,"uris":["http://zotero.org/users/9299646/items/Q8WHHLWF"],"itemData":{"id":3441,"type":"article-journal","abstract":"This article provides empirical evidence on how the pressures of corporate political capital and stakeholders' affect firms' willingness to embrace green innovation. Using a theoretical framework combining the stakeholder theory with the resource-based views (RBV), we investigate the effects of firms' political capital and stakeholders' pressures on corporate green innovation using a survey to 791 private manufacturing firms in China. Our results reveal that: (1) political capital plays a significant but negative role in firms' green product and process innovation performance; (2) both regulations and suppliers positively promote green innovation in product and process; (3) consumers are positively related to green product innovation but negatively related to green process innovation; and (4) competitions do not have any significant effects on both green product and green process innovation. Furthermore, political factors and stakeholders' contingent roles in institutional context should synthetically be considered to initiate green innovation.","container-title":"Journal of Cleaner Production","DOI":"10.1016/j.jclepro.2013.07.046","ISSN":"0959-6526","journalAbbreviation":"Journal of Cleaner Production","language":"en","page":"63-72","source":"ScienceDirect","title":"Can political capital drive corporate green innovation? Lessons from China","title-short":"Can political capital drive corporate green innovation?","volume":"64","author":[{"family":"Lin","given":"H."},{"family":"Zeng","given":"S. X."},{"family":"Ma","given":"H. Y."},{"family":"Qi","given":"G. Y."},{"family":"Tam","given":"Vivian W. Y."}],"issued":{"date-parts":[["2014",2,1]]}}}],"schema":"https://github.com/citation-style-language/schema/raw/master/csl-citation.json"} </w:instrText>
      </w:r>
      <w:r>
        <w:rPr>
          <w:rFonts w:ascii="Times New Roman" w:hAnsi="Times New Roman"/>
        </w:rPr>
        <w:fldChar w:fldCharType="separate"/>
      </w:r>
      <w:r>
        <w:rPr>
          <w:rFonts w:ascii="Times New Roman" w:hAnsi="Times New Roman"/>
        </w:rPr>
        <w:t>(Lin et al., 2014)</w:t>
      </w:r>
      <w:r>
        <w:rPr>
          <w:rFonts w:ascii="Times New Roman" w:hAnsi="Times New Roman"/>
        </w:rPr>
        <w:fldChar w:fldCharType="end"/>
      </w:r>
      <w:r>
        <w:rPr>
          <w:rFonts w:ascii="Times New Roman" w:hAnsi="Times New Roman"/>
        </w:rPr>
        <w:t xml:space="preserve">. </w:t>
      </w:r>
    </w:p>
    <w:p>
      <w:pPr>
        <w:spacing w:before="156" w:beforeLines="50" w:line="312" w:lineRule="auto"/>
        <w:ind w:firstLine="420"/>
        <w:rPr>
          <w:rFonts w:ascii="Times New Roman" w:hAnsi="Times New Roman" w:cs="Times New Roman Regular"/>
          <w:b/>
          <w:bCs/>
          <w:sz w:val="22"/>
          <w:szCs w:val="28"/>
        </w:rPr>
      </w:pPr>
      <w:r>
        <w:rPr>
          <w:rFonts w:hint="eastAsia" w:ascii="Times New Roman" w:hAnsi="Times New Roman" w:cs="Times New Roman Regular"/>
          <w:b/>
          <w:bCs/>
          <w:sz w:val="22"/>
          <w:szCs w:val="28"/>
        </w:rPr>
        <w:t>5 China</w:t>
      </w:r>
      <w:r>
        <w:rPr>
          <w:rFonts w:ascii="Times New Roman" w:hAnsi="Times New Roman" w:cs="Times New Roman Regular"/>
          <w:b/>
          <w:bCs/>
          <w:sz w:val="22"/>
          <w:szCs w:val="28"/>
        </w:rPr>
        <w:t>’</w:t>
      </w:r>
      <w:r>
        <w:rPr>
          <w:rFonts w:hint="eastAsia" w:ascii="Times New Roman" w:hAnsi="Times New Roman" w:cs="Times New Roman Regular"/>
          <w:b/>
          <w:bCs/>
          <w:sz w:val="22"/>
          <w:szCs w:val="28"/>
        </w:rPr>
        <w:t>s experience in improving corporate environmental management</w:t>
      </w:r>
    </w:p>
    <w:p>
      <w:pPr>
        <w:spacing w:line="312" w:lineRule="auto"/>
        <w:ind w:firstLine="420"/>
        <w:rPr>
          <w:rFonts w:ascii="Times New Roman" w:hAnsi="Times New Roman"/>
        </w:rPr>
      </w:pPr>
      <w:r>
        <w:rPr>
          <w:rFonts w:ascii="Times New Roman" w:hAnsi="Times New Roman"/>
        </w:rPr>
        <w:t>As the largest developing country in the world, China has been actively exploring policies for energy conservation, emission reduction</w:t>
      </w:r>
      <w:r>
        <w:rPr>
          <w:rFonts w:hint="eastAsia" w:ascii="Times New Roman" w:hAnsi="Times New Roman"/>
          <w:lang w:val="en-US" w:eastAsia="zh-CN"/>
        </w:rPr>
        <w:t>,</w:t>
      </w:r>
      <w:r>
        <w:rPr>
          <w:rFonts w:ascii="Times New Roman" w:hAnsi="Times New Roman"/>
        </w:rPr>
        <w:t xml:space="preserve"> and low-carbon development, and has </w:t>
      </w:r>
      <w:r>
        <w:rPr>
          <w:rFonts w:hint="eastAsia" w:ascii="Times New Roman" w:hAnsi="Times New Roman"/>
        </w:rPr>
        <w:t>es</w:t>
      </w:r>
      <w:r>
        <w:rPr>
          <w:rFonts w:ascii="Times New Roman" w:hAnsi="Times New Roman"/>
        </w:rPr>
        <w:t xml:space="preserve">tablished a relatively comprehensive environmental management system. In addition to the environmental regulatory measures mentioned </w:t>
      </w:r>
      <w:r>
        <w:rPr>
          <w:rFonts w:hint="eastAsia" w:ascii="Times New Roman" w:hAnsi="Times New Roman"/>
        </w:rPr>
        <w:t>ab</w:t>
      </w:r>
      <w:r>
        <w:rPr>
          <w:rFonts w:ascii="Times New Roman" w:hAnsi="Times New Roman"/>
        </w:rPr>
        <w:t xml:space="preserve">ove, China has also tried some new policy instruments in recent years, which have played an important role in the green innovation and environmental management of enterprises </w:t>
      </w:r>
      <w:r>
        <w:rPr>
          <w:rFonts w:ascii="Times New Roman" w:hAnsi="Times New Roman"/>
        </w:rPr>
        <w:fldChar w:fldCharType="begin"/>
      </w:r>
      <w:r>
        <w:rPr>
          <w:rFonts w:ascii="Times New Roman" w:hAnsi="Times New Roman"/>
        </w:rPr>
        <w:instrText xml:space="preserve"> ADDIN ZOTERO_ITEM CSL_CITATION {"citationID":"3o7UTWY6","properties":{"formattedCitation":"(Liu and Qin, 2016)","plainCitation":"(Liu and Qin, 2016)","noteIndex":0},"citationItems":[{"id":3740,"uris":["http://zotero.org/users/9299646/items/B3T8YXDX"],"itemData":{"id":3740,"type":"article-journal","abstract":"Along with its high-speed urbanization process, China has begun to initiate various policies to reduce greenhouse gas (GHG) emissions since the end of the 1990s. Different from the extant studies most of which focus on how to make specific policies towards low-carbon city, this article, based on archival analysis on government documents and field interviews across ten cities, provides a systematic review on China's current low-carbon city policies. With a framework borrowed from public policy, this article decomposes the low-carbon city policies into three elements: goal, contents, and instruments, and focus on the three sectors — manufacturing, transportation and building which contribute to the largest share of GHG emissions in China. The sectoral policy contents and instruments for low-carbon cities in both urbanized and urbanizing areas are further analyzed. It finds that, despite problems in implementation, China has largely formed a multi-layer and multi-actor policy-making process for developing low-carbon cities, in which civil society should play a larger role in the future.","collection-title":"Current Research on Cities","container-title":"Cities","DOI":"10.1016/j.cities.2015.11.010","ISSN":"0264-2751","journalAbbreviation":"Cities","language":"en","page":"131-138","source":"ScienceDirect","title":"Low-carbon city initiatives in China: A review from the policy paradigm perspective","title-short":"Low-carbon city initiatives in China","volume":"51","author":[{"family":"Liu","given":"Wei"},{"family":"Qin","given":"Bo"}],"issued":{"date-parts":[["2016",1,1]]}}}],"schema":"https://github.com/citation-style-language/schema/raw/master/csl-citation.json"} </w:instrText>
      </w:r>
      <w:r>
        <w:rPr>
          <w:rFonts w:ascii="Times New Roman" w:hAnsi="Times New Roman"/>
        </w:rPr>
        <w:fldChar w:fldCharType="separate"/>
      </w:r>
      <w:r>
        <w:rPr>
          <w:rFonts w:ascii="Times New Roman" w:hAnsi="Times New Roman"/>
        </w:rPr>
        <w:t>(Liu and Qin, 2016)</w:t>
      </w:r>
      <w:r>
        <w:rPr>
          <w:rFonts w:ascii="Times New Roman" w:hAnsi="Times New Roman"/>
        </w:rPr>
        <w:fldChar w:fldCharType="end"/>
      </w:r>
      <w:r>
        <w:rPr>
          <w:rFonts w:ascii="Times New Roman" w:hAnsi="Times New Roman"/>
        </w:rPr>
        <w:t xml:space="preserve">. </w:t>
      </w:r>
      <w:r>
        <w:rPr>
          <w:rFonts w:hint="eastAsia" w:ascii="Times New Roman" w:hAnsi="Times New Roman"/>
        </w:rPr>
        <w:t>F</w:t>
      </w:r>
      <w:r>
        <w:rPr>
          <w:rFonts w:ascii="Times New Roman" w:hAnsi="Times New Roman"/>
        </w:rPr>
        <w:t>or instance, China has implemented</w:t>
      </w:r>
      <w:r>
        <w:rPr>
          <w:rFonts w:hint="eastAsia" w:ascii="Times New Roman" w:hAnsi="Times New Roman"/>
          <w:lang w:val="en-US" w:eastAsia="zh-CN"/>
        </w:rPr>
        <w:t xml:space="preserve"> the</w:t>
      </w:r>
      <w:r>
        <w:rPr>
          <w:rFonts w:ascii="Times New Roman" w:hAnsi="Times New Roman"/>
        </w:rPr>
        <w:t xml:space="preserve"> low-carbon city pilot (LCCP) policy in three batches since 2010, and selected regions of different types, different development stages, and different resource endowments to carry out pilot projects in stages to explore replicable regional low-carbon development models and effective paths to mitigate carbon emissions. </w:t>
      </w:r>
    </w:p>
    <w:p>
      <w:pPr>
        <w:spacing w:line="312" w:lineRule="auto"/>
        <w:ind w:firstLine="420"/>
        <w:rPr>
          <w:rFonts w:ascii="Times New Roman" w:hAnsi="Times New Roman"/>
        </w:rPr>
      </w:pPr>
      <w:r>
        <w:rPr>
          <w:rFonts w:ascii="Times New Roman" w:hAnsi="Times New Roman"/>
        </w:rPr>
        <w:t xml:space="preserve">Different from a single </w:t>
      </w:r>
      <w:r>
        <w:rPr>
          <w:rFonts w:hint="eastAsia" w:ascii="Times New Roman" w:hAnsi="Times New Roman"/>
        </w:rPr>
        <w:t>administrative</w:t>
      </w:r>
      <w:r>
        <w:rPr>
          <w:rFonts w:ascii="Times New Roman" w:hAnsi="Times New Roman"/>
        </w:rPr>
        <w:t>-</w:t>
      </w:r>
      <w:r>
        <w:rPr>
          <w:rFonts w:hint="eastAsia" w:ascii="Times New Roman" w:hAnsi="Times New Roman"/>
        </w:rPr>
        <w:t>ba</w:t>
      </w:r>
      <w:r>
        <w:rPr>
          <w:rFonts w:ascii="Times New Roman" w:hAnsi="Times New Roman"/>
        </w:rPr>
        <w:t xml:space="preserve">sed environmental regulation and market-based environmental regulation, the LCCP policy, as a comprehensive environmental regulatory instrument, contains both binding clauses and various incentive clauses </w:t>
      </w:r>
      <w:r>
        <w:rPr>
          <w:rFonts w:ascii="Times New Roman" w:hAnsi="Times New Roman"/>
        </w:rPr>
        <w:fldChar w:fldCharType="begin"/>
      </w:r>
      <w:r>
        <w:rPr>
          <w:rFonts w:ascii="Times New Roman" w:hAnsi="Times New Roman"/>
        </w:rPr>
        <w:instrText xml:space="preserve"> ADDIN ZOTERO_ITEM CSL_CITATION {"citationID":"ljdL3OAd","properties":{"formattedCitation":"(Tan et al., 2017; Zheng et al., 2020)","plainCitation":"(Tan et al., 2017; Zheng et al., 2020)","noteIndex":0},"citationItems":[{"id":4022,"uris":["http://zotero.org/users/9299646/items/V7J7N42H"],"itemData":{"id":4022,"type":"article-journal","abstract":"Many cities are pursuing the low-carbon practices to reduce CO2 and other environmental emissions. However, it is still unclear which aspects a low-carbon city (LCC) covers and how to quantify and certify its low carbon level. In this paper, an indicator framework for the evaluation of LCC was established from the perspectives of Economic, Energy pattern, Social and Living, Carbon and Environment, Urban mobility, Solid waste, and Water. A comprehensive evaluation method was employed for LCC ranking by using the entropy weighting factor method. The benchmark values for LCC certification were also identified. The framework was applied to 10 global cities to rank their low-carbon levels. The comparison of cities at different levels of economic, social, and environmental development enhances the holistic of the study. The results showed that Stockholm, Vancouver, and Sydney ranked higher than the benchmark value, indicating these cities achieved a high level of low-carbon development. São Paulo, London, and Mexico City are still in the slow transition towards LCC. Beijing and New York each has much lower LCC level than the benchmark value due to the poor environmental performance and infrastructure supports caused by intensive human activities. The proposed indicator system serves as a guideline for the standardization of LCC and further identifies the key aspects of low-carbon management for different cities.","collection-title":"Clean, Efficient and Affordable Energy for a Sustainable Future","container-title":"Applied Energy","DOI":"10.1016/j.apenergy.2016.03.041","ISSN":"0306-2619","journalAbbreviation":"Applied Energy","language":"en","page":"1919-1930","source":"ScienceDirect","title":"A holistic low carbon city indicator framework for sustainable development","volume":"185","author":[{"family":"Tan","given":"Sieting"},{"family":"Yang","given":"Jin"},{"family":"Yan","given":"Jinyue"},{"family":"Lee","given":"Chewtin"},{"family":"Hashim","given":"Haslenda"},{"family":"Chen","given":"Bin"}],"issued":{"date-parts":[["2017",1,1]]}}},{"id":4018,"uris":["http://zotero.org/users/9299646/items/5TQW4HIU"],"itemData":{"id":4018,"type":"article-journal","abstract":"Household waste, as an inevitable result of daily activities, has attracted increasing attention, especially as it affects sustainable development. It is important to study the household waste separation behavior of individuals. Based on the theory of planned behavior, an extended theoretical model is constructed that considers perception of the outcomes in household waste separation to better illustrate individual behavior in waste separation. A comprehensive analysis is performed to explore the dynamic spread of pro-environmental and household waste separation information by conducting empirical research from 259 online questionnaires and a simulation of the evolution of household waste separation behavior in social networks. The dynamic spread of pro-environmental and household waste separation information influences the intention to sort waste, which determines waste sorting behavior. An analysis of the questionnaire data shows that considering others’ advice and perception of the behavioral outcomes has a significant influence on the intention to separate waste. Moreover, the impact of media publicity on the individual intention to sort waste is negative, indicating a need to improve the quality of propaganda. The simulation findings also advocate for enhancing the connection of people in the network, making policies that set appropriate penalties and increasing personal repayment by emphasizing three parameters: the information interaction threshold value, penalty-promoting parameter, and personal motivation parameter. Our study enhances the understanding of the evolutionary process of household solid waste separation behavior and provides several suggestions for improving existing policies, and this study can serve as a valuable reference for waste management in social networks.","container-title":"Resources, Conservation and Recycling","DOI":"10.1016/j.resconrec.2020.105009","ISSN":"0921-3449","journalAbbreviation":"Resources, Conservation and Recycling","language":"en","page":"105009","source":"ScienceDirect","title":"Evolutionary process of household waste separation behavior based on social networks","volume":"161","author":[{"family":"Zheng","given":"Junjun"},{"family":"Ma","given":"Gang"},{"family":"Wei","given":"Ju"},{"family":"Wei","given":"Wendong"},{"family":"He","given":"Yujie"},{"family":"Jiao","given":"Yangyang"},{"family":"Han","given":"Xue"}],"issued":{"date-parts":[["2020",10,1]]}}}],"schema":"https://github.com/citation-style-language/schema/raw/master/csl-citation.json"} </w:instrText>
      </w:r>
      <w:r>
        <w:rPr>
          <w:rFonts w:ascii="Times New Roman" w:hAnsi="Times New Roman"/>
        </w:rPr>
        <w:fldChar w:fldCharType="separate"/>
      </w:r>
      <w:r>
        <w:rPr>
          <w:rFonts w:ascii="Times New Roman" w:hAnsi="Times New Roman"/>
        </w:rPr>
        <w:t>(Tan et al., 2017; Zheng et al., 2020)</w:t>
      </w:r>
      <w:r>
        <w:rPr>
          <w:rFonts w:ascii="Times New Roman" w:hAnsi="Times New Roman"/>
        </w:rPr>
        <w:fldChar w:fldCharType="end"/>
      </w:r>
      <w:r>
        <w:rPr>
          <w:rFonts w:ascii="Times New Roman" w:hAnsi="Times New Roman"/>
        </w:rPr>
        <w:t>. And its content includes low-carbon development strategies, supporting policies, incentive mechanisms</w:t>
      </w:r>
      <w:r>
        <w:rPr>
          <w:rFonts w:hint="eastAsia" w:ascii="Times New Roman" w:hAnsi="Times New Roman"/>
          <w:lang w:val="en-US" w:eastAsia="zh-CN"/>
        </w:rPr>
        <w:t>,</w:t>
      </w:r>
      <w:r>
        <w:rPr>
          <w:rFonts w:ascii="Times New Roman" w:hAnsi="Times New Roman"/>
        </w:rPr>
        <w:t xml:space="preserve"> and restraint mechanisms in line with the region, so as to control greenhouse gas emissions in a targeted manner and achieve better environmental protection. Enterprises, as the backbone of the pilot city construction, bear the main responsibility for urban low-carbonization. The implementation of this policy has imposed certain restrictions on </w:t>
      </w:r>
      <w:r>
        <w:rPr>
          <w:rFonts w:hint="eastAsia" w:ascii="Times New Roman" w:hAnsi="Times New Roman"/>
          <w:lang w:val="en-US" w:eastAsia="zh-CN"/>
        </w:rPr>
        <w:t xml:space="preserve">the </w:t>
      </w:r>
      <w:r>
        <w:rPr>
          <w:rFonts w:ascii="Times New Roman" w:hAnsi="Times New Roman"/>
        </w:rPr>
        <w:t>pro</w:t>
      </w:r>
      <w:r>
        <w:rPr>
          <w:rFonts w:hint="eastAsia" w:ascii="Times New Roman" w:hAnsi="Times New Roman"/>
        </w:rPr>
        <w:t>duc</w:t>
      </w:r>
      <w:r>
        <w:rPr>
          <w:rFonts w:ascii="Times New Roman" w:hAnsi="Times New Roman"/>
        </w:rPr>
        <w:t xml:space="preserve">tion and </w:t>
      </w:r>
      <w:r>
        <w:rPr>
          <w:rFonts w:hint="eastAsia" w:ascii="Times New Roman" w:hAnsi="Times New Roman"/>
        </w:rPr>
        <w:t>de</w:t>
      </w:r>
      <w:r>
        <w:rPr>
          <w:rFonts w:ascii="Times New Roman" w:hAnsi="Times New Roman"/>
        </w:rPr>
        <w:t>velopment of enterprises, which would affect firms</w:t>
      </w:r>
      <w:r>
        <w:rPr>
          <w:rFonts w:hint="default" w:ascii="Times New Roman" w:hAnsi="Times New Roman"/>
          <w:lang w:val="en-US" w:eastAsia="zh-CN"/>
        </w:rPr>
        <w:t>’</w:t>
      </w:r>
      <w:r>
        <w:rPr>
          <w:rFonts w:ascii="Times New Roman" w:hAnsi="Times New Roman"/>
        </w:rPr>
        <w:t xml:space="preserve"> environmental management. Its influence mechanism comes from two effects, namely </w:t>
      </w:r>
      <w:r>
        <w:rPr>
          <w:rFonts w:hint="eastAsia" w:ascii="Times New Roman" w:hAnsi="Times New Roman"/>
          <w:lang w:val="en-US" w:eastAsia="zh-CN"/>
        </w:rPr>
        <w:t xml:space="preserve">the </w:t>
      </w:r>
      <w:r>
        <w:rPr>
          <w:rFonts w:ascii="Times New Roman" w:hAnsi="Times New Roman"/>
        </w:rPr>
        <w:t xml:space="preserve">cost effect and </w:t>
      </w:r>
      <w:r>
        <w:rPr>
          <w:rFonts w:hint="eastAsia" w:ascii="Times New Roman" w:hAnsi="Times New Roman"/>
          <w:lang w:val="en-US" w:eastAsia="zh-CN"/>
        </w:rPr>
        <w:t xml:space="preserve">the </w:t>
      </w:r>
      <w:r>
        <w:rPr>
          <w:rFonts w:ascii="Times New Roman" w:hAnsi="Times New Roman"/>
        </w:rPr>
        <w:t xml:space="preserve">incentive effect. The cost effect means that through the implementation of stricter and more precise environmental regulations, the emission cost will increase, thereby forcing enterprises to innovate in technology and improve environmental management </w:t>
      </w:r>
      <w:r>
        <w:rPr>
          <w:rFonts w:ascii="Times New Roman" w:hAnsi="Times New Roman"/>
        </w:rPr>
        <w:fldChar w:fldCharType="begin"/>
      </w:r>
      <w:r>
        <w:rPr>
          <w:rFonts w:ascii="Times New Roman" w:hAnsi="Times New Roman"/>
        </w:rPr>
        <w:instrText xml:space="preserve"> ADDIN ZOTERO_ITEM CSL_CITATION {"citationID":"Yq6BjQDL","properties":{"formattedCitation":"(Cheng et al., 2019)","plainCitation":"(Cheng et al., 2019)","noteIndex":0},"citationItems":[{"id":4026,"uris":["http://zotero.org/users/9299646/items/65QCV43E"],"itemData":{"id":4026,"type":"article-journal","abstract":"Faced with the predicament of sustainable development in traditional cities, the low-carbon city, as a novel urban development mode, provides a feasible idea for resolving the tensions among urban development, resource conservation and environmental protection. Using prefecture-level panel data during 2007–2016, we adopt the difference-in-differences model to explore the impact of low-carbon city construction on green growth. Afterward, we estimate the heterogeneity of economic-environmental effects on cities, and those effects are attributed to different scales and locations. The robustness tests reveal that low-carbon pilot cities significantly and continuously benefit in terms of the green total factor productivity through technical effects being partly transformed into green technical progress and structural effects. Additionally, the construction of low-carbon cities has scale economy and regional differences. Cities with larger scales, more complete infrastructure and better foundations for technology have more significantly positive effects on green growth. These findings also apply to cities in similar developing countries seeking to achieve economic transformation and green growth.","container-title":"Journal of Cleaner Production","DOI":"10.1016/j.jclepro.2019.05.327","ISSN":"0959-6526","journalAbbreviation":"Journal of Cleaner Production","language":"en","page":"1158-1170","source":"ScienceDirect","title":"Can low-carbon city construction facilitate green growth? Evidence from China's pilot low-carbon city initiative","title-short":"Can low-carbon city construction facilitate green growth?","volume":"231","author":[{"family":"Cheng","given":"Jinhua"},{"family":"Yi","given":"Jiahui"},{"family":"Dai","given":"Sheng"},{"family":"Xiong","given":"Yan"}],"issued":{"date-parts":[["2019",9,10]]}}}],"schema":"https://github.com/citation-style-language/schema/raw/master/csl-citation.json"} </w:instrText>
      </w:r>
      <w:r>
        <w:rPr>
          <w:rFonts w:ascii="Times New Roman" w:hAnsi="Times New Roman"/>
        </w:rPr>
        <w:fldChar w:fldCharType="separate"/>
      </w:r>
      <w:r>
        <w:rPr>
          <w:rFonts w:ascii="Times New Roman" w:hAnsi="Times New Roman"/>
        </w:rPr>
        <w:t>(Cheng et al., 2019)</w:t>
      </w:r>
      <w:r>
        <w:rPr>
          <w:rFonts w:ascii="Times New Roman" w:hAnsi="Times New Roman"/>
        </w:rPr>
        <w:fldChar w:fldCharType="end"/>
      </w:r>
      <w:r>
        <w:rPr>
          <w:rFonts w:ascii="Times New Roman" w:hAnsi="Times New Roman"/>
        </w:rPr>
        <w:t xml:space="preserve">. Specifically, under the LCCP policy, local governments formulate stricter emission standards and regulatory measures according to the production and development characteristics of different industries, </w:t>
      </w:r>
      <w:r>
        <w:rPr>
          <w:rFonts w:hint="eastAsia" w:ascii="Times New Roman" w:hAnsi="Times New Roman"/>
        </w:rPr>
        <w:t>which</w:t>
      </w:r>
      <w:r>
        <w:rPr>
          <w:rFonts w:ascii="Times New Roman" w:hAnsi="Times New Roman"/>
        </w:rPr>
        <w:t xml:space="preserve"> forms stronger constrain</w:t>
      </w:r>
      <w:r>
        <w:rPr>
          <w:rFonts w:hint="eastAsia" w:ascii="Times New Roman" w:hAnsi="Times New Roman"/>
          <w:lang w:val="en-US" w:eastAsia="zh-CN"/>
        </w:rPr>
        <w:t>t</w:t>
      </w:r>
      <w:r>
        <w:rPr>
          <w:rFonts w:ascii="Times New Roman" w:hAnsi="Times New Roman"/>
        </w:rPr>
        <w:t>s on the production and emission of enterprises, thereby increas</w:t>
      </w:r>
      <w:r>
        <w:rPr>
          <w:rFonts w:hint="eastAsia" w:ascii="Times New Roman" w:hAnsi="Times New Roman"/>
          <w:lang w:val="en-US" w:eastAsia="zh-CN"/>
        </w:rPr>
        <w:t>ing</w:t>
      </w:r>
      <w:r>
        <w:rPr>
          <w:rFonts w:ascii="Times New Roman" w:hAnsi="Times New Roman"/>
        </w:rPr>
        <w:t xml:space="preserve"> their costs </w:t>
      </w:r>
      <w:r>
        <w:rPr>
          <w:rFonts w:hint="eastAsia" w:ascii="Times New Roman" w:hAnsi="Times New Roman"/>
          <w:lang w:val="en-US" w:eastAsia="zh-CN"/>
        </w:rPr>
        <w:t xml:space="preserve">of </w:t>
      </w:r>
      <w:r>
        <w:rPr>
          <w:rFonts w:ascii="Times New Roman" w:hAnsi="Times New Roman"/>
        </w:rPr>
        <w:t>production and environmental management. W</w:t>
      </w:r>
      <w:r>
        <w:rPr>
          <w:rFonts w:hint="eastAsia" w:ascii="Times New Roman" w:hAnsi="Times New Roman"/>
        </w:rPr>
        <w:t>i</w:t>
      </w:r>
      <w:r>
        <w:rPr>
          <w:rFonts w:ascii="Times New Roman" w:hAnsi="Times New Roman"/>
        </w:rPr>
        <w:t xml:space="preserve">th emission/pollution costs increasing, enterprises would reconsider the allocation of production factors and obtain development opportunities through green innovation. The incentive effect comes from a series of </w:t>
      </w:r>
      <w:r>
        <w:rPr>
          <w:rFonts w:hint="eastAsia" w:ascii="Times New Roman" w:hAnsi="Times New Roman"/>
        </w:rPr>
        <w:t>in</w:t>
      </w:r>
      <w:r>
        <w:rPr>
          <w:rFonts w:ascii="Times New Roman" w:hAnsi="Times New Roman"/>
        </w:rPr>
        <w:t xml:space="preserve">centive policies in the pilot cities, </w:t>
      </w:r>
      <w:r>
        <w:rPr>
          <w:rFonts w:hint="eastAsia" w:ascii="Times New Roman" w:hAnsi="Times New Roman"/>
        </w:rPr>
        <w:t>i</w:t>
      </w:r>
      <w:r>
        <w:rPr>
          <w:rFonts w:ascii="Times New Roman" w:hAnsi="Times New Roman"/>
        </w:rPr>
        <w:t xml:space="preserve">.e., financial support, tax relief, financial subsidies, and talent incentives, which directly stimulates the green innovation and environmental management of enterprises </w:t>
      </w:r>
      <w:r>
        <w:rPr>
          <w:rFonts w:ascii="Times New Roman" w:hAnsi="Times New Roman"/>
        </w:rPr>
        <w:fldChar w:fldCharType="begin"/>
      </w:r>
      <w:r>
        <w:rPr>
          <w:rFonts w:ascii="Times New Roman" w:hAnsi="Times New Roman"/>
        </w:rPr>
        <w:instrText xml:space="preserve"> ADDIN ZOTERO_ITEM CSL_CITATION {"citationID":"h8B9ughv","properties":{"formattedCitation":"(Chen et al., 2021)","plainCitation":"(Chen et al., 2021)","noteIndex":0},"citationItems":[{"id":3748,"uris":["http://zotero.org/users/9299646/items/8IH7XW7W"],"itemData":{"id":3748,"type":"article-journal","abstract":"In recent years, the low-carbon city pilot policy has been important work in China. It aims to control the city's greenhouse gas emissions, find a \"win-win\" path of low-carbon and economy and drive the innovation and development of cities through low-carbon goals. In this context, we consider the low-carbon city pilot policy as the starting point. Based on the data of A-share listed companies in Shanghai and Shenzhen from 2005 to 2015 in 285 prefecture-level cities, the OP and LP methods are used to calculate total factor productivity (TFP). In this paper, using PSM-DID and other methods, we empirically test whether and how the low-carbon city pilot policy affects enterprise TFP. The results indicate that the construction of low-carbon cities significantly promotes an increase in the TFP of local enterprises. In addition, improving technological innovation and optimizing the efficiency of resource allocation are two important transmission mechanisms. The above conclusions are robust to a series of tests. Therefore, the implementation of a low-carbon city pilot policy can help achieve the \"win-win\" goal of emission reduction and high-quality enterprise development. This study provides strong support for further expanding the scope of low-carbon city pilot policy projects and the scientific implementation of climate change policies, and it provides beneficial policy enlightenment for the scientific implementation of urban emission reduction control to win the battle against climate change.","container-title":"Resources, Conservation and Recycling","DOI":"10.1016/j.resconrec.2021.105457","ISSN":"0921-3449","journalAbbreviation":"Resources, Conservation and Recycling","language":"en","page":"105457","source":"ScienceDirect","title":"The impact of low-carbon city pilot policy on the total factor productivity of listed enterprises in China","volume":"169","author":[{"family":"Chen","given":"Hao"},{"family":"Guo","given":"Wei"},{"family":"Feng","given":"Xue"},{"family":"Wei","given":"Wendong"},{"family":"Liu","given":"Hanbin"},{"family":"Feng","given":"Yan"},{"family":"Gong","given":"Weiyi"}],"issued":{"date-parts":[["2021",6,1]]}}}],"schema":"https://github.com/citation-style-language/schema/raw/master/csl-citation.json"} </w:instrText>
      </w:r>
      <w:r>
        <w:rPr>
          <w:rFonts w:ascii="Times New Roman" w:hAnsi="Times New Roman"/>
        </w:rPr>
        <w:fldChar w:fldCharType="separate"/>
      </w:r>
      <w:r>
        <w:rPr>
          <w:rFonts w:ascii="Times New Roman" w:hAnsi="Times New Roman"/>
        </w:rPr>
        <w:t>(Chen et al., 2021)</w:t>
      </w:r>
      <w:r>
        <w:rPr>
          <w:rFonts w:ascii="Times New Roman" w:hAnsi="Times New Roman"/>
        </w:rPr>
        <w:fldChar w:fldCharType="end"/>
      </w:r>
      <w:r>
        <w:rPr>
          <w:rFonts w:ascii="Times New Roman" w:hAnsi="Times New Roman"/>
        </w:rPr>
        <w:t xml:space="preserve">. On the other hand, the pilot cities plan and establish low-carbon industrial parks, introduce advanced green technologies, </w:t>
      </w:r>
      <w:r>
        <w:rPr>
          <w:rFonts w:hint="eastAsia" w:ascii="Times New Roman" w:hAnsi="Times New Roman"/>
          <w:lang w:val="en-US" w:eastAsia="zh-CN"/>
        </w:rPr>
        <w:t>build</w:t>
      </w:r>
      <w:r>
        <w:rPr>
          <w:rFonts w:ascii="Times New Roman" w:hAnsi="Times New Roman"/>
        </w:rPr>
        <w:t xml:space="preserve"> more </w:t>
      </w:r>
      <w:r>
        <w:rPr>
          <w:rFonts w:hint="eastAsia" w:ascii="Times New Roman" w:hAnsi="Times New Roman"/>
        </w:rPr>
        <w:t>ope</w:t>
      </w:r>
      <w:r>
        <w:rPr>
          <w:rFonts w:ascii="Times New Roman" w:hAnsi="Times New Roman"/>
        </w:rPr>
        <w:t>n technology exchange platforms, and rais</w:t>
      </w:r>
      <w:r>
        <w:rPr>
          <w:rFonts w:hint="eastAsia" w:ascii="Times New Roman" w:hAnsi="Times New Roman"/>
          <w:lang w:val="en-US" w:eastAsia="zh-CN"/>
        </w:rPr>
        <w:t>e</w:t>
      </w:r>
      <w:r>
        <w:rPr>
          <w:rFonts w:ascii="Times New Roman" w:hAnsi="Times New Roman"/>
        </w:rPr>
        <w:t xml:space="preserve"> public awareness of environmental protection </w:t>
      </w:r>
      <w:r>
        <w:rPr>
          <w:rFonts w:hint="eastAsia" w:ascii="Times New Roman" w:hAnsi="Times New Roman"/>
          <w:lang w:val="en-US" w:eastAsia="zh-CN"/>
        </w:rPr>
        <w:t xml:space="preserve">to </w:t>
      </w:r>
      <w:r>
        <w:rPr>
          <w:rFonts w:ascii="Times New Roman" w:hAnsi="Times New Roman"/>
        </w:rPr>
        <w:t xml:space="preserve">indirectly encourage enterprises to strengthen environmental management and technological innovation </w:t>
      </w:r>
      <w:r>
        <w:rPr>
          <w:rFonts w:ascii="Times New Roman" w:hAnsi="Times New Roman"/>
        </w:rPr>
        <w:fldChar w:fldCharType="begin"/>
      </w:r>
      <w:r>
        <w:rPr>
          <w:rFonts w:ascii="Times New Roman" w:hAnsi="Times New Roman"/>
        </w:rPr>
        <w:instrText xml:space="preserve"> ADDIN ZOTERO_ITEM CSL_CITATION {"citationID":"M3xZUPjL","properties":{"formattedCitation":"(Wang et al., 2019)","plainCitation":"(Wang et al., 2019)","noteIndex":0},"citationItems":[{"id":3988,"uris":["http://zotero.org/users/9299646/items/39VQI647"],"itemData":{"id":3988,"type":"article-journal","abstract":"Purpose As the contradiction between economic development, resource and environment has become increasingly prominent, low-carbon competitiveness has received worldwide focus. This study aims to examine low-carbon competitiveness in 31 provinces (cities and regions) of China. Design/methodology/approach An evaluation index system for low-carbon competitiveness in China has been constructed, which is composed of 25 economic, social, environmental and policy indicators. To study the state of low-carbon competitiveness and resistance to China’ development of low-carbon competitiveness, this study uses a combination of the catastrophe progression model, the spatial autocorrelation model and the barrier method. Findings China’ low-carbon competitiveness gradually decreases from coastal to inland areas: the Tibet and Ningxia Hui autonomous regions are the least competitive regions, while the Shandong and Jiangsu provinces are the most competitive areas. The spatial correlation of the 31 provinces’ low-carbon competitiveness is very low and lacks regional cooperation. This study finds that the proportion of a region’ wetland area, the proportion of tertiary industries represented in its GDP and afforestation areas are the main factors in the development of low-carbon competitiveness. China should become the leader of carbon competitiveness by playing the leading role in the Eastern Region, optimizing the industrial structure, improving government supervision and strengthening environmental protection. Originality/value The paper provides a quantitative reference for evaluating China’ low-carbon competitiveness, which is beneficial for environmental policymaking. In addition, the evaluation and analysis methods offer relevant implications for developing countries.","container-title":"International Journal of Climate Change Strategies and Management","DOI":"10.1108/IJCCSM-11-2018-0076","ISSN":"1756-8692","issue":"1","language":"en","note":"publisher: Emerald Publishing Limited","page":"74-91","source":"Emerald Insight","title":"Construction of China’s low-carbon competitiveness evaluation system: A study based on provincial cross-section data","title-short":"Construction of China’s low-carbon competitiveness evaluation system","volume":"12","author":[{"family":"Wang","given":"Yongjing"},{"family":"Lan","given":"Qingxin"},{"family":"Jiang","given":"Feng"},{"family":"Chen","given":"Chaofan"}],"issued":{"date-parts":[["2019",1,1]]}}}],"schema":"https://github.com/citation-style-language/schema/raw/master/csl-citation.json"} </w:instrText>
      </w:r>
      <w:r>
        <w:rPr>
          <w:rFonts w:ascii="Times New Roman" w:hAnsi="Times New Roman"/>
        </w:rPr>
        <w:fldChar w:fldCharType="separate"/>
      </w:r>
      <w:r>
        <w:rPr>
          <w:rFonts w:ascii="Times New Roman" w:hAnsi="Times New Roman"/>
        </w:rPr>
        <w:t>(Wang et al., 2019)</w:t>
      </w:r>
      <w:r>
        <w:rPr>
          <w:rFonts w:ascii="Times New Roman" w:hAnsi="Times New Roman"/>
        </w:rPr>
        <w:fldChar w:fldCharType="end"/>
      </w:r>
      <w:r>
        <w:rPr>
          <w:rFonts w:ascii="Times New Roman" w:hAnsi="Times New Roman"/>
        </w:rPr>
        <w:t xml:space="preserve">. </w:t>
      </w:r>
    </w:p>
    <w:p>
      <w:pPr>
        <w:spacing w:line="312" w:lineRule="auto"/>
        <w:ind w:firstLine="420"/>
        <w:rPr>
          <w:rFonts w:ascii="Times New Roman" w:hAnsi="Times New Roman"/>
        </w:rPr>
      </w:pPr>
      <w:r>
        <w:rPr>
          <w:rFonts w:ascii="Times New Roman" w:hAnsi="Times New Roman"/>
        </w:rPr>
        <w:t>To sum up, the LCCP policy is essentially a comprehensive environmental regulation that combines administrative-based and market-oriented environmental regulations, but pilot cities have greater autonomy in low-carbon development plans and policies.</w:t>
      </w:r>
      <w:r>
        <w:rPr>
          <w:rFonts w:hint="eastAsia" w:ascii="Times New Roman" w:hAnsi="Times New Roman"/>
        </w:rPr>
        <w:t xml:space="preserve"> Unde</w:t>
      </w:r>
      <w:r>
        <w:rPr>
          <w:rFonts w:ascii="Times New Roman" w:hAnsi="Times New Roman"/>
        </w:rPr>
        <w:t xml:space="preserve">r the LCCP policy, China’s cities have introduced many differentiated regulatory instruments, including command-mandatory instruments, market-economic instruments, and voluntary instruments </w:t>
      </w:r>
      <w:r>
        <w:rPr>
          <w:rFonts w:ascii="Times New Roman" w:hAnsi="Times New Roman"/>
        </w:rPr>
        <w:fldChar w:fldCharType="begin"/>
      </w:r>
      <w:r>
        <w:rPr>
          <w:rFonts w:ascii="Times New Roman" w:hAnsi="Times New Roman"/>
        </w:rPr>
        <w:instrText xml:space="preserve"> ADDIN ZOTERO_ITEM CSL_CITATION {"citationID":"gH9D9Fxq","properties":{"formattedCitation":"(Yufei Wang et al., 2015)","plainCitation":"(Yufei Wang et al., 2015)","dontUpdate":true,"noteIndex":0},"citationItems":[{"id":2559,"uris":["http://zotero.org/users/9299646/items/HMY6B3HQ"],"itemData":{"id":2559,"type":"article-journal","abstract":"Nationwide rapid urbanization has been a key driver of economic growth, energy consumption, and carbon emission in China. To avoid the high energy consumption and pollution present in other industrialized countries, China is making the economic and social transition from a high-carbon model to a low-carbon model. The low-carbon city pilots (LCCPs) programme was launched by the National Development and Reform Commission (NDRC) to resolve the dilemma between economic development and transitioning to a low-carbon model. The status quos of these pilots in different regions have set CO2 intensity per unit of gross domestic product (GDP), CO2 emissions per capita, CO2 reduction targets, and CO2 discharge peak times. Traditional policies, including those aimed at improving energy efficiency, applying renewable energy, adjusting sector structure, and increasing carbon sequestration capacity, are being widely applied in the form of command-mandatory tools, market-economic tools, and voluntary tools. By summarizing these policies, low-carbon development plans, LCCP governments reports, and a case study focusing on Zhenjiang (practical experiences based on city features), this article proposes implications for how to achieve the LCCPs' low-carbon goals.Policy relevanceChina has launched a low-carbon city pilots (LCCPs) programme to promote its future low-carbon urbanization, but the cities concerned have not yet managed to achieve true low-carbon' status in terms of CO2 per unit of GDP and CO2 per capita. To improve the performance of LCCPs, central government should provide guidance on institutional framework and policies, while local governments should establish carbon management systems. Both central and local governments should establish a policy assessment system and use integrated policy tools as part of their low-carbon development plans.","container-title":"Climate Policy","DOI":"10.1080/14693062.2015.1050347","ISSN":"1469-3062","journalAbbreviation":"Clim. Policy","language":"English","note":"publisher-place: Abingdon\npublisher: Taylor &amp; Francis Ltd\nWOS:000364543500005","page":"S81-S103","source":"Web of Science Nextgen","title":"Developing low-carbon cities through pilots","volume":"15","author":[{"family":"Wang","given":"Yufei"},{"family":"Song","given":"Qijiao"},{"family":"He","given":"Jijiang"},{"family":"Qi","given":"Ye"}],"issued":{"date-parts":[["2015",11,6]]}}}],"schema":"https://github.com/citation-style-language/schema/raw/master/csl-citation.json"} </w:instrText>
      </w:r>
      <w:r>
        <w:rPr>
          <w:rFonts w:ascii="Times New Roman" w:hAnsi="Times New Roman"/>
        </w:rPr>
        <w:fldChar w:fldCharType="separate"/>
      </w:r>
      <w:r>
        <w:rPr>
          <w:rFonts w:ascii="Times New Roman" w:hAnsi="Times New Roman"/>
        </w:rPr>
        <w:t>(Wang et al., 2015)</w:t>
      </w:r>
      <w:r>
        <w:rPr>
          <w:rFonts w:ascii="Times New Roman" w:hAnsi="Times New Roman"/>
        </w:rPr>
        <w:fldChar w:fldCharType="end"/>
      </w:r>
      <w:r>
        <w:rPr>
          <w:rFonts w:ascii="Times New Roman" w:hAnsi="Times New Roman"/>
        </w:rPr>
        <w:t>. T</w:t>
      </w:r>
      <w:r>
        <w:rPr>
          <w:rFonts w:hint="eastAsia" w:ascii="Times New Roman" w:hAnsi="Times New Roman"/>
        </w:rPr>
        <w:t>h</w:t>
      </w:r>
      <w:r>
        <w:rPr>
          <w:rFonts w:ascii="Times New Roman" w:hAnsi="Times New Roman"/>
        </w:rPr>
        <w:t>e representative measures of command-mandatory instruments are outdated production elimination, coal to gas, coal to electricity, oil to gas, no-coal-burning zone, etc. Market-economic</w:t>
      </w:r>
      <w:r>
        <w:t xml:space="preserve"> </w:t>
      </w:r>
      <w:r>
        <w:rPr>
          <w:rFonts w:ascii="Times New Roman" w:hAnsi="Times New Roman"/>
        </w:rPr>
        <w:t>instruments include subsidies for clean energy development, interest-subsidized loans for special energy-saving program</w:t>
      </w:r>
      <w:r>
        <w:rPr>
          <w:rFonts w:hint="eastAsia" w:ascii="Times New Roman" w:hAnsi="Times New Roman"/>
          <w:lang w:val="en-US" w:eastAsia="zh-CN"/>
        </w:rPr>
        <w:t>s</w:t>
      </w:r>
      <w:r>
        <w:rPr>
          <w:rFonts w:ascii="Times New Roman" w:hAnsi="Times New Roman"/>
        </w:rPr>
        <w:t>, carbon trade, carbon quota allocation, carbon-neutral platform</w:t>
      </w:r>
      <w:r>
        <w:rPr>
          <w:rFonts w:hint="eastAsia" w:ascii="Times New Roman" w:hAnsi="Times New Roman"/>
          <w:lang w:val="en-US" w:eastAsia="zh-CN"/>
        </w:rPr>
        <w:t>s</w:t>
      </w:r>
      <w:r>
        <w:rPr>
          <w:rFonts w:ascii="Times New Roman" w:hAnsi="Times New Roman"/>
        </w:rPr>
        <w:t xml:space="preserve">, new energy vehicle subsidies, and ecological compensation, etc. And there are diverse measures for voluntary instruments. For example, </w:t>
      </w:r>
      <w:r>
        <w:rPr>
          <w:rFonts w:hint="eastAsia" w:ascii="Times New Roman" w:hAnsi="Times New Roman"/>
        </w:rPr>
        <w:t>many</w:t>
      </w:r>
      <w:r>
        <w:rPr>
          <w:rFonts w:ascii="Times New Roman" w:hAnsi="Times New Roman"/>
        </w:rPr>
        <w:t xml:space="preserve"> cities, like Z</w:t>
      </w:r>
      <w:r>
        <w:rPr>
          <w:rFonts w:hint="eastAsia" w:ascii="Times New Roman" w:hAnsi="Times New Roman"/>
        </w:rPr>
        <w:t>h</w:t>
      </w:r>
      <w:r>
        <w:rPr>
          <w:rFonts w:ascii="Times New Roman" w:hAnsi="Times New Roman"/>
        </w:rPr>
        <w:t>enjiang, Hangzhou, Tianjin, Ningbo, Shanghai, and Wuhan, etc., have established several online platforms to monitor and manage energy consumption and carbon emission, such as energy monitoring system</w:t>
      </w:r>
      <w:r>
        <w:rPr>
          <w:rStyle w:val="15"/>
          <w:rFonts w:ascii="Times New Roman" w:hAnsi="Times New Roman"/>
        </w:rPr>
        <w:footnoteReference w:id="0"/>
      </w:r>
      <w:r>
        <w:rPr>
          <w:rFonts w:ascii="Times New Roman" w:hAnsi="Times New Roman"/>
        </w:rPr>
        <w:t>, carbon management system</w:t>
      </w:r>
      <w:r>
        <w:rPr>
          <w:rStyle w:val="15"/>
          <w:rFonts w:ascii="Times New Roman" w:hAnsi="Times New Roman"/>
        </w:rPr>
        <w:footnoteReference w:id="1"/>
      </w:r>
      <w:r>
        <w:rPr>
          <w:rFonts w:ascii="Times New Roman" w:hAnsi="Times New Roman"/>
        </w:rPr>
        <w:t>, low carbon information platform</w:t>
      </w:r>
      <w:r>
        <w:rPr>
          <w:rFonts w:hint="eastAsia" w:ascii="Times New Roman" w:hAnsi="Times New Roman"/>
          <w:lang w:val="en-US" w:eastAsia="zh-CN"/>
        </w:rPr>
        <w:t>,</w:t>
      </w:r>
      <w:r>
        <w:rPr>
          <w:rFonts w:ascii="Times New Roman" w:hAnsi="Times New Roman"/>
        </w:rPr>
        <w:t xml:space="preserve"> and so on. Product carbon footprint certification and audit has been launched in Baoding, Ningbo, and Hulunbei’er. And energy management contract has been adopted in Zhenjiang, Jingdezhen, and Jinchang. </w:t>
      </w:r>
    </w:p>
    <w:p>
      <w:pPr>
        <w:spacing w:line="312" w:lineRule="auto"/>
        <w:ind w:firstLine="420"/>
        <w:rPr>
          <w:rFonts w:ascii="Times New Roman" w:hAnsi="Times New Roman"/>
        </w:rPr>
      </w:pPr>
      <w:r>
        <w:rPr>
          <w:rFonts w:ascii="Times New Roman" w:hAnsi="Times New Roman"/>
        </w:rPr>
        <w:t xml:space="preserve">Among so many innovative environmental policy instruments, </w:t>
      </w:r>
      <w:r>
        <w:rPr>
          <w:rFonts w:hint="eastAsia" w:ascii="Times New Roman" w:hAnsi="Times New Roman"/>
        </w:rPr>
        <w:t>carb</w:t>
      </w:r>
      <w:r>
        <w:rPr>
          <w:rFonts w:ascii="Times New Roman" w:hAnsi="Times New Roman"/>
        </w:rPr>
        <w:t>on trading and green finance are two representative market-based instruments with wider coverage and greater influence. In 2011, the National Development and Reform Commission approved seven provinces and cities including Shanghai, Beijing, Guangdong, Shenzhen, Tianjin, Hubei, and Chongqing to carry out carbon emission trading pilot</w:t>
      </w:r>
      <w:r>
        <w:rPr>
          <w:rFonts w:hint="eastAsia" w:ascii="Times New Roman" w:hAnsi="Times New Roman"/>
          <w:lang w:val="en-US" w:eastAsia="zh-CN"/>
        </w:rPr>
        <w:t>s</w:t>
      </w:r>
      <w:r>
        <w:rPr>
          <w:rFonts w:ascii="Times New Roman" w:hAnsi="Times New Roman"/>
        </w:rPr>
        <w:t xml:space="preserve">, and officially launched in 2013 </w:t>
      </w:r>
      <w:r>
        <w:rPr>
          <w:rFonts w:ascii="Times New Roman" w:hAnsi="Times New Roman"/>
        </w:rPr>
        <w:fldChar w:fldCharType="begin"/>
      </w:r>
      <w:r>
        <w:rPr>
          <w:rFonts w:ascii="Times New Roman" w:hAnsi="Times New Roman"/>
        </w:rPr>
        <w:instrText xml:space="preserve"> ADDIN ZOTERO_ITEM CSL_CITATION {"citationID":"HwoZtKXk","properties":{"formattedCitation":"(Shi et al., 2022a)","plainCitation":"(Shi et al., 2022a)","noteIndex":0},"citationItems":[{"id":3756,"uris":["http://zotero.org/users/9299646/items/E257LVTH"],"itemData":{"id":3756,"type":"article-journal","abstract":"As a major carbon dioxide-emitting country, China set carbon trading market to reduce enterprise carbon emissions through the rational allocation of carbon quotas among different enterprises and regions. The market has also conducted a preliminary exploration for the country to achieve carbon dioxide emissions peak in 2030 and carbon neutrality in 2060 while actively addressing the challenges of global climate change. This study analysed the emission reduction effect of China's carbon trading pilot policy, especially the role of carbon quota and carbon trading price. The analysis used county-level panel data from 1997 to 2017, regarded the implementation of the carbon trading pilot policy as a quasi-natural experiment, and used the difference-in-differences method. The results showed that, first, the policy implementation not only reduced regional carbon emissions but also inhibited carbon dioxide emissions per capita, with long-term effects. Second, the carbon emission reduction effect brought by the carbon pilot policy showed significant heterogeneous results with the different degrees of regional carbon emissions and environmental supervision. The effect was greater in areas with higher carbon emission density and stronger legal supervision. Third, the difference in carbon quota allocations resulted in different emission reduction effects, among which the historical method had the strongest effect. The carbon quota price and number of enterprises participating carbon trading market were the key factors affecting carbon emission reduction.","container-title":"Journal of Environmental Management","DOI":"10.1016/j.jenvman.2022.115650","ISSN":"0301-4797","journalAbbreviation":"Journal of Environmental Management","language":"en","page":"115650","source":"ScienceDirect","title":"Market incentives, carbon quota allocation and carbon emission reduction: Evidence from China's carbon trading pilot policy","title-short":"Market incentives, carbon quota allocation and carbon emission reduction","volume":"319","author":[{"family":"Shi","given":"Beibei"},{"family":"Li","given":"Nan"},{"family":"Gao","given":"Qiang"},{"family":"Li","given":"Guangqin"}],"issued":{"date-parts":[["2022",10,1]]}}}],"schema":"https://github.com/citation-style-language/schema/raw/master/csl-citation.json"} </w:instrText>
      </w:r>
      <w:r>
        <w:rPr>
          <w:rFonts w:ascii="Times New Roman" w:hAnsi="Times New Roman"/>
        </w:rPr>
        <w:fldChar w:fldCharType="separate"/>
      </w:r>
      <w:r>
        <w:rPr>
          <w:rFonts w:ascii="Times New Roman" w:hAnsi="Times New Roman"/>
        </w:rPr>
        <w:t>(Shi et al., 2022a)</w:t>
      </w:r>
      <w:r>
        <w:rPr>
          <w:rFonts w:ascii="Times New Roman" w:hAnsi="Times New Roman"/>
        </w:rPr>
        <w:fldChar w:fldCharType="end"/>
      </w:r>
      <w:r>
        <w:rPr>
          <w:rFonts w:ascii="Times New Roman" w:hAnsi="Times New Roman"/>
        </w:rPr>
        <w:t>. T</w:t>
      </w:r>
      <w:r>
        <w:rPr>
          <w:rFonts w:hint="eastAsia" w:ascii="Times New Roman" w:hAnsi="Times New Roman"/>
        </w:rPr>
        <w:t>he</w:t>
      </w:r>
      <w:r>
        <w:rPr>
          <w:rFonts w:ascii="Times New Roman" w:hAnsi="Times New Roman"/>
        </w:rPr>
        <w:t xml:space="preserve"> policy </w:t>
      </w:r>
      <w:r>
        <w:rPr>
          <w:rFonts w:hint="eastAsia" w:ascii="Times New Roman" w:hAnsi="Times New Roman"/>
        </w:rPr>
        <w:t>regar</w:t>
      </w:r>
      <w:r>
        <w:rPr>
          <w:rFonts w:ascii="Times New Roman" w:hAnsi="Times New Roman"/>
        </w:rPr>
        <w:t xml:space="preserve">ds carbon emission right as a special commodity, allows them to be traded in the carbon trading market, and promotes the rational allocation of carbon emission rights among enterprises, thereby promoting emission reduction </w:t>
      </w:r>
      <w:r>
        <w:rPr>
          <w:rFonts w:ascii="Times New Roman" w:hAnsi="Times New Roman"/>
        </w:rPr>
        <w:fldChar w:fldCharType="begin"/>
      </w:r>
      <w:r>
        <w:rPr>
          <w:rFonts w:ascii="Times New Roman" w:hAnsi="Times New Roman"/>
        </w:rPr>
        <w:instrText xml:space="preserve"> ADDIN ZOTERO_ITEM CSL_CITATION {"citationID":"p7ZLZyXP","properties":{"formattedCitation":"(Gao et al., 2020)","plainCitation":"(Gao et al., 2020)","noteIndex":0},"citationItems":[{"id":3773,"uris":["http://zotero.org/users/9299646/items/HIWY78CA"],"itemData":{"id":3773,"type":"article-journal","abstract":"In response to climate change issues, China has set clear targets to reduce emissions. The establishment of a carbon emissions trading scheme (ETS) has an important role in China's achievement of these targets. China designed its ETS in 2011 and implemented it in pilot regions in 2013. This study investigated whether the ETS reduces carbon emissions and how it influences carbon leakage. First, the production-based emissions, consumption-based emissions, and carbon leakage of 28 industries in 30 provinces during 2005–2015 were calculated based on provincial environmentally extended input–output tables. Then, the difference-in-differences and difference-in-difference-in-differences models were used to evaluate the effectiveness of ETS. The following conclusions were derived. (1) ETS contributes to emissions mitigation in pilot regions and industries. (2) ETS has greater effect on the mitigation of production-based emissions than consumption-based emissions. (3) ETS encourages outsourcing of emissions from pilot areas to non-pilot areas, resulting in carbon leakage (or “pollution haven” effect), which aggravates the imbalance of emissions transfers among China's provinces. The success of China's ETS in promoting emissions mitigation can serve as an example for other emerging economies.","container-title":"Energy Economics","DOI":"10.1016/j.eneco.2020.104872","ISSN":"0140-9883","journalAbbreviation":"Energy Economics","language":"en","page":"104872","source":"ScienceDirect","title":"Evaluation of effectiveness of China's carbon emissions trading scheme in carbon mitigation","volume":"90","author":[{"family":"Gao","given":"Yuning"},{"family":"Li","given":"Meng"},{"family":"Xue","given":"Jinjun"},{"family":"Liu","given":"Yu"}],"issued":{"date-parts":[["2020",8,1]]}}}],"schema":"https://github.com/citation-style-language/schema/raw/master/csl-citation.json"} </w:instrText>
      </w:r>
      <w:r>
        <w:rPr>
          <w:rFonts w:ascii="Times New Roman" w:hAnsi="Times New Roman"/>
        </w:rPr>
        <w:fldChar w:fldCharType="separate"/>
      </w:r>
      <w:r>
        <w:rPr>
          <w:rFonts w:ascii="Times New Roman" w:hAnsi="Times New Roman"/>
        </w:rPr>
        <w:t>(Gao et al., 2020)</w:t>
      </w:r>
      <w:r>
        <w:rPr>
          <w:rFonts w:ascii="Times New Roman" w:hAnsi="Times New Roman"/>
        </w:rPr>
        <w:fldChar w:fldCharType="end"/>
      </w:r>
      <w:r>
        <w:rPr>
          <w:rFonts w:ascii="Times New Roman" w:hAnsi="Times New Roman"/>
        </w:rPr>
        <w:t>. It can promote the improvement of corporate environmental management from two aspects. First, the cost pressure of emission</w:t>
      </w:r>
      <w:r>
        <w:rPr>
          <w:rFonts w:hint="eastAsia" w:ascii="Times New Roman" w:hAnsi="Times New Roman"/>
          <w:lang w:val="en-US" w:eastAsia="zh-CN"/>
        </w:rPr>
        <w:t>s</w:t>
      </w:r>
      <w:r>
        <w:rPr>
          <w:rFonts w:ascii="Times New Roman" w:hAnsi="Times New Roman"/>
        </w:rPr>
        <w:t xml:space="preserve"> urges enterprises to increase green innovation. When enterprises meet the original emission standards, they do not need to purchase carbon emission quota</w:t>
      </w:r>
      <w:r>
        <w:rPr>
          <w:rFonts w:hint="eastAsia" w:ascii="Times New Roman" w:hAnsi="Times New Roman"/>
          <w:lang w:val="en-US" w:eastAsia="zh-CN"/>
        </w:rPr>
        <w:t>s</w:t>
      </w:r>
      <w:r>
        <w:rPr>
          <w:rFonts w:ascii="Times New Roman" w:hAnsi="Times New Roman"/>
        </w:rPr>
        <w:t xml:space="preserve"> from the market, which can save costs. Second, cleaner production can enable enterprises to sell their surplus emission quotas through the carbon trading market to obtain additional income</w:t>
      </w:r>
      <w:r>
        <w:rPr>
          <w:rFonts w:ascii="Times New Roman" w:hAnsi="Times New Roman"/>
        </w:rPr>
        <w:fldChar w:fldCharType="begin"/>
      </w:r>
      <w:r>
        <w:rPr>
          <w:rFonts w:ascii="Times New Roman" w:hAnsi="Times New Roman"/>
        </w:rPr>
        <w:instrText xml:space="preserve"> ADDIN ZOTERO_ITEM CSL_CITATION {"citationID":"DRoY2cmF","properties":{"formattedCitation":"(Lin and Huang, 2022)","plainCitation":"(Lin and Huang, 2022)","noteIndex":0},"citationItems":[{"id":3776,"uris":["http://zotero.org/users/9299646/items/2U9PT4D8"],"itemData":{"id":3776,"type":"article-journal","abstract":"Carbon trading is a crucial policy to combat climate change and China's carbon market is considered one of the carbon markets to consider. Some studies have shown that China's carbon trading scheme promotes carbon reduction. However, others have shown that low carbon prices and poor liquidity characterize China's carbon market. How can China's carbon trading mechanism achieve the expected emission reduction when the market mechanism has not been fully established? To answer it, this article collected 30 Chinese provinces' panel data from 2005 to 2019 and explored the relationship between the implementation of carbon trading policies and carbon emission reduction through a multi-period difference-in-differences model. In addition, a series of robustness tests were performed. The results indicate that carbon trading does effectively curb carbon emissions. But this policy effect is not achieved through the market mechanism. In the pilot phase of China's carbon market, government intervention played a significant role in reducing carbon emissions. The results also suggest that the carbon trading mechanism promotes carbon emission reduction through energy consumption rather than industrial structure. This study enriches the empirical evidence of carbon trading and provides valuable references for policymakers and the construction of carbon markets.","container-title":"Sustainable Production and Consumption","DOI":"10.1016/j.spc.2022.06.016","ISSN":"2352-5509","journalAbbreviation":"Sustainable Production and Consumption","language":"en","page":"28-37","source":"ScienceDirect","title":"Analysis of emission reduction effects of carbon trading: Market mechanism or government intervention?","title-short":"Analysis of emission reduction effects of carbon trading","volume":"33","author":[{"family":"Lin","given":"Boqiang"},{"family":"Huang","given":"Chenchen"}],"issued":{"date-parts":[["2022",9,1]]}}}],"schema":"https://github.com/citation-style-language/schema/raw/master/csl-citation.json"} </w:instrText>
      </w:r>
      <w:r>
        <w:rPr>
          <w:rFonts w:ascii="Times New Roman" w:hAnsi="Times New Roman"/>
        </w:rPr>
        <w:fldChar w:fldCharType="separate"/>
      </w:r>
      <w:r>
        <w:rPr>
          <w:rFonts w:ascii="Times New Roman" w:hAnsi="Times New Roman"/>
        </w:rPr>
        <w:t>(Lin and Huang, 2022)</w:t>
      </w:r>
      <w:r>
        <w:rPr>
          <w:rFonts w:ascii="Times New Roman" w:hAnsi="Times New Roman"/>
        </w:rPr>
        <w:fldChar w:fldCharType="end"/>
      </w:r>
      <w:r>
        <w:rPr>
          <w:rFonts w:ascii="Times New Roman" w:hAnsi="Times New Roman"/>
        </w:rPr>
        <w:t>. After preliminary trials, China’s national carbon trading market officially launch</w:t>
      </w:r>
      <w:r>
        <w:rPr>
          <w:rFonts w:hint="eastAsia" w:ascii="Times New Roman" w:hAnsi="Times New Roman"/>
        </w:rPr>
        <w:t>ed</w:t>
      </w:r>
      <w:r>
        <w:rPr>
          <w:rFonts w:ascii="Times New Roman" w:hAnsi="Times New Roman"/>
        </w:rPr>
        <w:t xml:space="preserve"> online in July 2021. In the past year, the cumulative number of enterprises participating in the transaction has exceeded half of the total number of key emission units, and the cumulative transaction volume of carbon emission </w:t>
      </w:r>
      <w:r>
        <w:rPr>
          <w:rFonts w:hint="eastAsia" w:ascii="Times New Roman" w:hAnsi="Times New Roman"/>
        </w:rPr>
        <w:t>quo</w:t>
      </w:r>
      <w:r>
        <w:rPr>
          <w:rFonts w:ascii="Times New Roman" w:hAnsi="Times New Roman"/>
        </w:rPr>
        <w:t>tas reached 194 million tons, with a turnover of 8.49 billion CNY</w:t>
      </w:r>
      <w:r>
        <w:rPr>
          <w:rStyle w:val="15"/>
          <w:rFonts w:ascii="Times New Roman" w:hAnsi="Times New Roman"/>
        </w:rPr>
        <w:footnoteReference w:id="2"/>
      </w:r>
      <w:r>
        <w:rPr>
          <w:rFonts w:ascii="Times New Roman" w:hAnsi="Times New Roman"/>
        </w:rPr>
        <w:t xml:space="preserve">. The effect of China’s carbon trading pilot policy has also aroused extensive </w:t>
      </w:r>
      <w:r>
        <w:rPr>
          <w:rFonts w:hint="eastAsia" w:ascii="Times New Roman" w:hAnsi="Times New Roman"/>
        </w:rPr>
        <w:t>re</w:t>
      </w:r>
      <w:r>
        <w:rPr>
          <w:rFonts w:ascii="Times New Roman" w:hAnsi="Times New Roman"/>
        </w:rPr>
        <w:t xml:space="preserve">search and discussions </w:t>
      </w:r>
      <w:r>
        <w:rPr>
          <w:rFonts w:hint="eastAsia" w:ascii="Times New Roman" w:hAnsi="Times New Roman"/>
        </w:rPr>
        <w:t>in</w:t>
      </w:r>
      <w:r>
        <w:rPr>
          <w:rFonts w:ascii="Times New Roman" w:hAnsi="Times New Roman"/>
        </w:rPr>
        <w:t xml:space="preserve"> academia. For example, </w:t>
      </w:r>
      <w:r>
        <w:rPr>
          <w:rFonts w:ascii="Times New Roman" w:hAnsi="Times New Roman"/>
        </w:rPr>
        <w:fldChar w:fldCharType="begin"/>
      </w:r>
      <w:r>
        <w:rPr>
          <w:rFonts w:ascii="Times New Roman" w:hAnsi="Times New Roman"/>
        </w:rPr>
        <w:instrText xml:space="preserve"> ADDIN ZOTERO_ITEM CSL_CITATION {"citationID":"F9lj4n3D","properties":{"formattedCitation":"(Lv and Bai, 2021)","plainCitation":"(Lv and Bai, 2021)","dontUpdate":true,"noteIndex":0},"citationItems":[{"id":4027,"uris":["http://zotero.org/users/9299646/items/G67HTR49"],"itemData":{"id":4027,"type":"article-journal","abstract":"Using trading data of China's seven pilot carbon emission trading markets from 2013 to 2016, we assess the effectiveness of the carbon emission trading policy from the perspective of corporate innovation. Robust results suggest both a high carbon trading price and high price volatility enhance corporate innovation, which confirms the effectiveness of carbon emission trading policy in promoting corporate carbon-reduction innovation. Our research supports the expansion of China's carbon emission trading from regional pilot projects to the national market and guides policymakers to make timely policy adjustments based on the evaluation of carbon emissions trading policy.","container-title":"Finance Research Letters","DOI":"10.1016/j.frl.2020.101565","ISSN":"1544-6123","journalAbbreviation":"Finance Research Letters","language":"en","page":"101565","source":"ScienceDirect","title":"Evaluation of China's carbon emission trading policy from corporate innovation","volume":"39","author":[{"family":"Lv","given":"Miaochen"},{"family":"Bai","given":"Manying"}],"issued":{"date-parts":[["2021",3,1]]}}}],"schema":"https://github.com/citation-style-language/schema/raw/master/csl-citation.json"} </w:instrText>
      </w:r>
      <w:r>
        <w:rPr>
          <w:rFonts w:ascii="Times New Roman" w:hAnsi="Times New Roman"/>
        </w:rPr>
        <w:fldChar w:fldCharType="separate"/>
      </w:r>
      <w:r>
        <w:rPr>
          <w:rFonts w:ascii="Times New Roman" w:hAnsi="Times New Roman"/>
        </w:rPr>
        <w:t>Lv and Bai (2021)</w:t>
      </w:r>
      <w:r>
        <w:rPr>
          <w:rFonts w:ascii="Times New Roman" w:hAnsi="Times New Roman"/>
        </w:rPr>
        <w:fldChar w:fldCharType="end"/>
      </w:r>
      <w:r>
        <w:t xml:space="preserve"> </w:t>
      </w:r>
      <w:r>
        <w:rPr>
          <w:rFonts w:hint="eastAsia" w:ascii="Times New Roman" w:hAnsi="Times New Roman"/>
        </w:rPr>
        <w:t>use</w:t>
      </w:r>
      <w:r>
        <w:rPr>
          <w:rFonts w:ascii="Times New Roman" w:hAnsi="Times New Roman"/>
        </w:rPr>
        <w:t xml:space="preserve">d trading data </w:t>
      </w:r>
      <w:r>
        <w:rPr>
          <w:rFonts w:hint="eastAsia" w:ascii="Times New Roman" w:hAnsi="Times New Roman"/>
          <w:lang w:val="en-US" w:eastAsia="zh-CN"/>
        </w:rPr>
        <w:t>from</w:t>
      </w:r>
      <w:r>
        <w:rPr>
          <w:rFonts w:ascii="Times New Roman" w:hAnsi="Times New Roman"/>
        </w:rPr>
        <w:t xml:space="preserve"> China’s seven pilot carbon emission trading markets </w:t>
      </w:r>
      <w:r>
        <w:rPr>
          <w:rFonts w:hint="eastAsia" w:ascii="Times New Roman" w:hAnsi="Times New Roman"/>
          <w:lang w:val="en-US" w:eastAsia="zh-CN"/>
        </w:rPr>
        <w:t>during</w:t>
      </w:r>
      <w:r>
        <w:rPr>
          <w:rFonts w:ascii="Times New Roman" w:hAnsi="Times New Roman"/>
        </w:rPr>
        <w:t xml:space="preserve"> 2013</w:t>
      </w:r>
      <w:r>
        <w:rPr>
          <w:rFonts w:hint="eastAsia" w:ascii="Times New Roman" w:hAnsi="Times New Roman"/>
          <w:lang w:val="en-US" w:eastAsia="zh-CN"/>
        </w:rPr>
        <w:t>-</w:t>
      </w:r>
      <w:r>
        <w:rPr>
          <w:rFonts w:ascii="Times New Roman" w:hAnsi="Times New Roman"/>
        </w:rPr>
        <w:t xml:space="preserve">2016 to assess the effectiveness of the carbon emission trading policy from the perspective of corporate innovation. The results show that both a high carbon trading price and high price volatility enhance corporate innovation, which confirms the effectiveness of carbon emission trading policy in promoting corporate carbon-reduction innovation. Based on a sample of selected enterprises covered by the pilot carbon trading policy in China from 2007 to 2018, </w:t>
      </w:r>
      <w:r>
        <w:rPr>
          <w:rFonts w:ascii="Times New Roman" w:hAnsi="Times New Roman"/>
        </w:rPr>
        <w:fldChar w:fldCharType="begin"/>
      </w:r>
      <w:r>
        <w:rPr>
          <w:rFonts w:ascii="Times New Roman" w:hAnsi="Times New Roman"/>
        </w:rPr>
        <w:instrText xml:space="preserve"> ADDIN ZOTERO_ITEM CSL_CITATION {"citationID":"eRzNeuyk","properties":{"formattedCitation":"(Qi et al., 2021)","plainCitation":"(Qi et al., 2021)","dontUpdate":true,"noteIndex":0},"citationItems":[{"id":3770,"uris":["http://zotero.org/users/9299646/items/FLASJBFX"],"itemData":{"id":3770,"type":"article-journal","abstract":"China’s pilot carbon trading policy is expected to be both efficient and flexible in reducing carbon emissions through incentivising low-carbon innovation. This paper analyses the effects of this pilot policy on low-carbon innovation using a difference-in-difference model, based on a sample of selected enterprises and carrying out a series of robustness tests to corroborate the results. The analysis shows that the pilot carbon trading policy is predicted to have a significantly positive effect on the low-carbon innovation of enterprises that fall under its scope, notably by alleviating obstacles to the financing of low-carbon innovation. Furthermore, a heterogeneity analysis of enterprises’ characteristics and carbon allowance allocation methods in different pilots indicates that the effect of the pilot carbon trading policy on enterprises’ low-carbon innovation will be reflected mainly in enterprises in China’s eastern provinces, and in state-owned enterprises. Compared with the grandfathering and historical intensity allocation methods, the findings of this study suggest that the extent of low-carbon innovation is significantly greater when the benchmarking method is used. The results of this paper offer some key insights into improving the policy design of a nationwide carbon trading market in China, as well as a reference point for other countries and regions, especially developing countries, in establishing a carbon trading market.Key policy insights China’s pilot carbon trading policy can promote low-carbon innovation.Easing the financing constraints of enterprises can promote low-carbon innovation.Compared with the grandfathering and historical intensity allocation methods, using the benchmarking method significantly improves the enterprises’ low-carbon innovation.","container-title":"Climate Policy","DOI":"10.1080/14693062.2020.1864268","ISSN":"1469-3062","issue":"3","note":"publisher: Taylor &amp; Francis\n_eprint: https://doi.org/10.1080/14693062.2020.1864268","page":"318-336","source":"Taylor and Francis+NEJM","title":"Influence of a pilot carbon trading policy on enterprises’ low-carbon innovation in China","volume":"21","author":[{"family":"Qi","given":"Shao-Zhou"},{"family":"Zhou","given":"Chao-Bo"},{"family":"Li","given":"Kai"},{"family":"Tang","given":"Si-Yan"}],"issued":{"date-parts":[["2021",3,16]]}}}],"schema":"https://github.com/citation-style-language/schema/raw/master/csl-citation.json"} </w:instrText>
      </w:r>
      <w:r>
        <w:rPr>
          <w:rFonts w:ascii="Times New Roman" w:hAnsi="Times New Roman"/>
        </w:rPr>
        <w:fldChar w:fldCharType="separate"/>
      </w:r>
      <w:r>
        <w:rPr>
          <w:rFonts w:ascii="Times New Roman" w:hAnsi="Times New Roman"/>
        </w:rPr>
        <w:t>Qi et al. (2021)</w:t>
      </w:r>
      <w:r>
        <w:rPr>
          <w:rFonts w:ascii="Times New Roman" w:hAnsi="Times New Roman"/>
        </w:rPr>
        <w:fldChar w:fldCharType="end"/>
      </w:r>
      <w:r>
        <w:rPr>
          <w:rFonts w:ascii="Times New Roman" w:hAnsi="Times New Roman"/>
        </w:rPr>
        <w:t xml:space="preserve"> conducted an empirical analysis of the in</w:t>
      </w:r>
      <w:r>
        <w:rPr>
          <w:rFonts w:hint="eastAsia" w:ascii="Times New Roman" w:hAnsi="Times New Roman"/>
          <w:lang w:val="en-US" w:eastAsia="zh-CN"/>
        </w:rPr>
        <w:t>fl</w:t>
      </w:r>
      <w:r>
        <w:rPr>
          <w:rFonts w:ascii="Times New Roman" w:hAnsi="Times New Roman"/>
        </w:rPr>
        <w:t>uence of this pilot on enterprises’ low-carbon innovation using a DID model. T</w:t>
      </w:r>
      <w:r>
        <w:rPr>
          <w:rFonts w:hint="eastAsia" w:ascii="Times New Roman" w:hAnsi="Times New Roman"/>
        </w:rPr>
        <w:t>he</w:t>
      </w:r>
      <w:r>
        <w:rPr>
          <w:rFonts w:ascii="Times New Roman" w:hAnsi="Times New Roman"/>
        </w:rPr>
        <w:t>y found that the pilot carbon trading policy can improve the level of low-carbon innovation and enhance this e</w:t>
      </w:r>
      <w:r>
        <w:rPr>
          <w:rFonts w:hint="eastAsia" w:ascii="Times New Roman" w:hAnsi="Times New Roman" w:cs="Times New Roman"/>
          <w:lang w:val="en-US" w:eastAsia="zh-CN"/>
        </w:rPr>
        <w:t>ff</w:t>
      </w:r>
      <w:r>
        <w:rPr>
          <w:rFonts w:ascii="Times New Roman" w:hAnsi="Times New Roman"/>
        </w:rPr>
        <w:t xml:space="preserve">ect by easing the </w:t>
      </w:r>
      <w:r>
        <w:rPr>
          <w:rFonts w:hint="eastAsia" w:ascii="Times New Roman" w:hAnsi="Times New Roman" w:cs="Times New Roman"/>
          <w:lang w:val="en-US" w:eastAsia="zh-CN"/>
        </w:rPr>
        <w:t>fi</w:t>
      </w:r>
      <w:r>
        <w:rPr>
          <w:rFonts w:ascii="Times New Roman" w:hAnsi="Times New Roman"/>
        </w:rPr>
        <w:t xml:space="preserve">nancing constraints faced by enterprises, and the effect was found to be most significant on state-owned enterprises in the eastern regions of China. </w:t>
      </w:r>
    </w:p>
    <w:p>
      <w:pPr>
        <w:spacing w:line="312" w:lineRule="auto"/>
        <w:ind w:firstLine="420"/>
        <w:rPr>
          <w:rFonts w:ascii="Times New Roman" w:hAnsi="Times New Roman"/>
        </w:rPr>
      </w:pPr>
      <w:r>
        <w:rPr>
          <w:rFonts w:ascii="Times New Roman" w:hAnsi="Times New Roman"/>
        </w:rPr>
        <w:t>A</w:t>
      </w:r>
      <w:r>
        <w:rPr>
          <w:rFonts w:hint="eastAsia" w:ascii="Times New Roman" w:hAnsi="Times New Roman"/>
        </w:rPr>
        <w:t>no</w:t>
      </w:r>
      <w:r>
        <w:rPr>
          <w:rFonts w:ascii="Times New Roman" w:hAnsi="Times New Roman"/>
        </w:rPr>
        <w:t xml:space="preserve">ther representative market-based instrument is green finance, which is also a </w:t>
      </w:r>
      <w:r>
        <w:rPr>
          <w:rFonts w:hint="eastAsia" w:ascii="Times New Roman" w:hAnsi="Times New Roman"/>
        </w:rPr>
        <w:t>com</w:t>
      </w:r>
      <w:r>
        <w:rPr>
          <w:rFonts w:ascii="Times New Roman" w:hAnsi="Times New Roman"/>
        </w:rPr>
        <w:t xml:space="preserve">prehensive environmental regulatory instrument, including green credit, green </w:t>
      </w:r>
      <w:r>
        <w:rPr>
          <w:rFonts w:hint="eastAsia" w:ascii="Times New Roman" w:hAnsi="Times New Roman"/>
        </w:rPr>
        <w:t>bond</w:t>
      </w:r>
      <w:r>
        <w:rPr>
          <w:rFonts w:hint="eastAsia" w:ascii="Times New Roman" w:hAnsi="Times New Roman"/>
          <w:lang w:val="en-US" w:eastAsia="zh-CN"/>
        </w:rPr>
        <w:t>s</w:t>
      </w:r>
      <w:r>
        <w:rPr>
          <w:rFonts w:ascii="Times New Roman" w:hAnsi="Times New Roman"/>
        </w:rPr>
        <w:t xml:space="preserve">, green stock index and related products, green development fund, green insurance, carbon finance, etc. </w:t>
      </w:r>
      <w:r>
        <w:rPr>
          <w:rFonts w:hint="eastAsia" w:ascii="Times New Roman" w:hAnsi="Times New Roman"/>
        </w:rPr>
        <w:t>the</w:t>
      </w:r>
      <w:r>
        <w:rPr>
          <w:rFonts w:ascii="Times New Roman" w:hAnsi="Times New Roman"/>
        </w:rPr>
        <w:t xml:space="preserve"> g</w:t>
      </w:r>
      <w:r>
        <w:rPr>
          <w:rFonts w:hint="eastAsia" w:ascii="Times New Roman" w:hAnsi="Times New Roman"/>
        </w:rPr>
        <w:t>r</w:t>
      </w:r>
      <w:r>
        <w:rPr>
          <w:rFonts w:ascii="Times New Roman" w:hAnsi="Times New Roman"/>
        </w:rPr>
        <w:t xml:space="preserve">een finance </w:t>
      </w:r>
      <w:r>
        <w:rPr>
          <w:rFonts w:hint="eastAsia" w:ascii="Times New Roman" w:hAnsi="Times New Roman"/>
        </w:rPr>
        <w:t>polic</w:t>
      </w:r>
      <w:r>
        <w:rPr>
          <w:rFonts w:ascii="Times New Roman" w:hAnsi="Times New Roman"/>
        </w:rPr>
        <w:t xml:space="preserve">y </w:t>
      </w:r>
      <w:r>
        <w:rPr>
          <w:rFonts w:hint="eastAsia" w:ascii="Times New Roman" w:hAnsi="Times New Roman"/>
        </w:rPr>
        <w:t>essen</w:t>
      </w:r>
      <w:r>
        <w:rPr>
          <w:rFonts w:ascii="Times New Roman" w:hAnsi="Times New Roman"/>
        </w:rPr>
        <w:t xml:space="preserve">tially reduces the supply of funds to highly polluting enterprises, thus forces high-pollution and high-emission enterprises to transform and upgrade to clean and environmentally friendly enterprises </w:t>
      </w:r>
      <w:r>
        <w:rPr>
          <w:rFonts w:ascii="Times New Roman" w:hAnsi="Times New Roman"/>
        </w:rPr>
        <w:fldChar w:fldCharType="begin"/>
      </w:r>
      <w:r>
        <w:rPr>
          <w:rFonts w:ascii="Times New Roman" w:hAnsi="Times New Roman"/>
        </w:rPr>
        <w:instrText xml:space="preserve"> ADDIN ZOTERO_ITEM CSL_CITATION {"citationID":"U6CEX2HP","properties":{"formattedCitation":"(Huang and Zhang, 2021)","plainCitation":"(Huang and Zhang, 2021)","noteIndex":0},"citationItems":[{"id":3997,"uris":["http://zotero.org/users/9299646/items/VLC35RXC"],"itemData":{"id":3997,"type":"article-journal","abstract":"In this study, taking the pilot zones for green finance reform and innovations set up in 2017 as the objects, a quasi-natural experiment is conducted to assess the environmental effects of green finance policy using the difference-in-difference propensity score matching (PSM-DID) method based on the panel data in 30 provincial-level administrative regions from 2011 to 2019. In addition, further efforts are made to investigate the differences of green financial policies in environmental effect. According to the research findings, the set-up of green finance pilot zones can reduce the environmental pollution, and green finance policy is conductive to environmental enhancement. Meanwhile, a partial mediating effect exists between a region’s innovation capability and industrial structure. On the whole, green finance policy plays the most significant role in improving the eastern region’s environmental pollution, followed by the central region, but barely enhances the environment in the western region. To sum up, the more serious the environmental pollution is, the better the effect of green finance policy.","container-title":"Sustainability","DOI":"10.3390/su13073754","ISSN":"2071-1050","issue":"7","language":"en","license":"http://creativecommons.org/licenses/by/3.0/","note":"number: 7\npublisher: Multidisciplinary Digital Publishing Institute","page":"3754","source":"www.mdpi.com","title":"Research on the Environmental Effect of Green Finance Policy Based on the Analysis of Pilot Zones for Green Finance Reform and Innovations","volume":"13","author":[{"family":"Huang","given":"Haifeng"},{"family":"Zhang","given":"Jing"}],"issued":{"date-parts":[["2021",1]]}}}],"schema":"https://github.com/citation-style-language/schema/raw/master/csl-citation.json"} </w:instrText>
      </w:r>
      <w:r>
        <w:rPr>
          <w:rFonts w:ascii="Times New Roman" w:hAnsi="Times New Roman"/>
        </w:rPr>
        <w:fldChar w:fldCharType="separate"/>
      </w:r>
      <w:r>
        <w:rPr>
          <w:rFonts w:ascii="Times New Roman" w:hAnsi="Times New Roman"/>
        </w:rPr>
        <w:t>(Huang and Zhang, 2021)</w:t>
      </w:r>
      <w:r>
        <w:rPr>
          <w:rFonts w:ascii="Times New Roman" w:hAnsi="Times New Roman"/>
        </w:rPr>
        <w:fldChar w:fldCharType="end"/>
      </w:r>
      <w:r>
        <w:rPr>
          <w:rFonts w:ascii="Times New Roman" w:hAnsi="Times New Roman"/>
        </w:rPr>
        <w:t xml:space="preserve">. Meanwhile, the policy can guide the allocation of financial resources to green projects, stimulate the development of new industries such as environmental protection, new energy and new materials, promote green technological innovation and bring environmental improvements </w:t>
      </w:r>
      <w:r>
        <w:rPr>
          <w:rFonts w:ascii="Times New Roman" w:hAnsi="Times New Roman"/>
        </w:rPr>
        <w:fldChar w:fldCharType="begin"/>
      </w:r>
      <w:r>
        <w:rPr>
          <w:rFonts w:ascii="Times New Roman" w:hAnsi="Times New Roman"/>
        </w:rPr>
        <w:instrText xml:space="preserve"> ADDIN ZOTERO_ITEM CSL_CITATION {"citationID":"KaLRFxIs","properties":{"formattedCitation":"(Lu et al., 2022)","plainCitation":"(Lu et al., 2022)","noteIndex":0},"citationItems":[{"id":3781,"uris":["http://zotero.org/users/9299646/items/2AUTWHIQ"],"itemData":{"id":3781,"type":"article-journal","abstract":"The construction of pilot zones for green finance reform and innovations (GFRI) is an important initiative for the Chinese government to develop a green economy. Based on 3236 A-share listed enterprises from 2011 to 2018, this paper uses the difference-in-differences method (DID) to examine whether GFRI can promote enterprise green technology innovation. The results show that GFRI can significantly enhance enterprise green technology innovation. This conclusion is still robust after the parallel trend test, PSM-DID and placebo inspection. The mechanism research shows that GFRI can relocate the internal and external financing constraints, and then promote enterprise green technology innovation. Further, heterogeneity analysis shows that GFRI’s green technological innovation incentives only exist in the eastern region and non-state-owned enterprises, which not only significantly improves the total green technology patents, but also significantly improves the green invention patents and green practical patents. For the central and western regions and state-owned enterprises, GFRI can only enhance the green invention patents. From the perspective of enterprise green technology innovation, this paper assesses the implementation effect of GFRI, providing theoretical support and empirical evidence for green finance policies to serve China’s green economy.","container-title":"Sustainability","DOI":"10.3390/su14169865","ISSN":"2071-1050","issue":"16","language":"en","license":"http://creativecommons.org/licenses/by/3.0/","note":"number: 16\npublisher: Multidisciplinary Digital Publishing Institute","page":"9865","source":"www.mdpi.com","title":"How Does Green Finance Reform Affect Enterprise Green Technology Innovation? Evidence from China","title-short":"How Does Green Finance Reform Affect Enterprise Green Technology Innovation?","volume":"14","author":[{"family":"Lu","given":"Na"},{"family":"Wu","given":"Jiahui"},{"family":"Liu","given":"Ziming"}],"issued":{"date-parts":[["2022",1]]}}}],"schema":"https://github.com/citation-style-language/schema/raw/master/csl-citation.json"} </w:instrText>
      </w:r>
      <w:r>
        <w:rPr>
          <w:rFonts w:ascii="Times New Roman" w:hAnsi="Times New Roman"/>
        </w:rPr>
        <w:fldChar w:fldCharType="separate"/>
      </w:r>
      <w:r>
        <w:rPr>
          <w:rFonts w:ascii="Times New Roman" w:hAnsi="Times New Roman"/>
        </w:rPr>
        <w:t>(Lu et al., 2022)</w:t>
      </w:r>
      <w:r>
        <w:rPr>
          <w:rFonts w:ascii="Times New Roman" w:hAnsi="Times New Roman"/>
        </w:rPr>
        <w:fldChar w:fldCharType="end"/>
      </w:r>
      <w:r>
        <w:rPr>
          <w:rFonts w:ascii="Times New Roman" w:hAnsi="Times New Roman"/>
        </w:rPr>
        <w:t xml:space="preserve">. Taking green credit as an example, many studies have confirmed its positive effect on corporate low-carbon technology innovation and industrial structure upgrading, but there are different findings on the mechanism and impact. </w:t>
      </w:r>
      <w:r>
        <w:rPr>
          <w:rFonts w:ascii="Times New Roman" w:hAnsi="Times New Roman"/>
        </w:rPr>
        <w:fldChar w:fldCharType="begin"/>
      </w:r>
      <w:r>
        <w:rPr>
          <w:rFonts w:ascii="Times New Roman" w:hAnsi="Times New Roman"/>
        </w:rPr>
        <w:instrText xml:space="preserve"> ADDIN ZOTERO_ITEM CSL_CITATION {"citationID":"g56x1MrR","properties":{"formattedCitation":"(Hu et al., 2021)","plainCitation":"(Hu et al., 2021)","dontUpdate":true,"noteIndex":0},"citationItems":[{"id":4039,"uris":["http://zotero.org/users/9299646/items/4GL5RMK9"],"itemData":{"id":4039,"type":"article-journal","abstract":"This paper investigates the effect of the green credit policy (GCP) on green innovation in heavily polluting enterprises (HPEs) using the promulgation of the “Green Credit Guidelines” (2012 Guidelines) policy in China as a quasi-natural experiment. The findings show that the 2012 Guidelines have had a positive and significant effect on the green patent output of HPEs, especially HPEs under stronger financial constraints. Furthermore, this positive effect occurred predominantly in HPEs with higher expected sunk costs or noncompliance costs, more intense product market competition, and state ownership. These results suggest that the GCP can stimulate green innovation in HPEs by exerting credit constraints, thus achieving green transformation in an emerging economy.","container-title":"Energy Economics","DOI":"10.1016/j.eneco.2021.105134","ISSN":"0140-9883","journalAbbreviation":"Energy Economics","language":"en","page":"105134","source":"ScienceDirect","title":"Can the green credit policy stimulate green innovation in heavily polluting enterprises? Evidence from a quasi-natural experiment in China","title-short":"Can the green credit policy stimulate green innovation in heavily polluting enterprises?","volume":"98","author":[{"family":"Hu","given":"Guoqiang"},{"family":"Wang","given":"Xiaoqi"},{"family":"Wang","given":"Yu"}],"issued":{"date-parts":[["2021",6,1]]}}}],"schema":"https://github.com/citation-style-language/schema/raw/master/csl-citation.json"} </w:instrText>
      </w:r>
      <w:r>
        <w:rPr>
          <w:rFonts w:ascii="Times New Roman" w:hAnsi="Times New Roman"/>
        </w:rPr>
        <w:fldChar w:fldCharType="separate"/>
      </w:r>
      <w:r>
        <w:rPr>
          <w:rFonts w:ascii="Times New Roman" w:hAnsi="Times New Roman"/>
        </w:rPr>
        <w:t>Hu et al. (2021)</w:t>
      </w:r>
      <w:r>
        <w:rPr>
          <w:rFonts w:ascii="Times New Roman" w:hAnsi="Times New Roman"/>
        </w:rPr>
        <w:fldChar w:fldCharType="end"/>
      </w:r>
      <w:r>
        <w:rPr>
          <w:rFonts w:ascii="Times New Roman" w:hAnsi="Times New Roman"/>
        </w:rPr>
        <w:t xml:space="preserve"> found that the green credit policy can stimulate green innovation in heavily polluting enterprises by exerting credit constraints, thus achieving green transformation in an emerging economy. On the contrary, based on the research on China’s 2,825 listed companies from 2007 to 2018, </w:t>
      </w:r>
      <w:r>
        <w:rPr>
          <w:rFonts w:ascii="Times New Roman" w:hAnsi="Times New Roman"/>
        </w:rPr>
        <w:fldChar w:fldCharType="begin"/>
      </w:r>
      <w:r>
        <w:rPr>
          <w:rFonts w:ascii="Times New Roman" w:hAnsi="Times New Roman"/>
        </w:rPr>
        <w:instrText xml:space="preserve"> ADDIN ZOTERO_ITEM CSL_CITATION {"citationID":"zkLAzF8Y","properties":{"formattedCitation":"(Hong et al., 2021)","plainCitation":"(Hong et al., 2021)","dontUpdate":true,"noteIndex":0},"citationItems":[{"id":4049,"uris":["http://zotero.org/users/9299646/items/EK2N7PW8"],"itemData":{"id":4049,"type":"article-journal","abstract":"Green technology innovation is regarded as an important means to achieve sustainable development. Countries all over the world mainly implement green technology innovation policies from the aspects of environmental regulation and financing constraints. The effect of financing constraint policy on enterprise green technology innovation remains to be investigated. Based on the event of “green credit guidelines” issued by China Banking Regulatory Commission in 2012, this paper collects the panel data of China’s 2825 listed companies from 2007 to 2018, constructs a difference-in-difference model, and studies the impact of green credit guidelines on corporate green technology innovation and its mechanism. The empirical results show: First, green credit guidelines can promote corporate green technology innovation on the whole. Second, the mechanism of green credit on enterprise green technology innovation is identified. Green credit guidelines mainly limited green technology innovation through reducing debt financing, rather than through financing constraints. Third, the impact of green credit guidelines on green technology innovation is heterogeneous. Green credit guidelines have a significant effect on the green technology innovation of state-owned and large enterprises, but have no effect on the green technology innovation of non-state-owned and small ones.","container-title":"International Journal of Environmental Research and Public Health","DOI":"10.3390/ijerph18041682","ISSN":"1660-4601","issue":"4","language":"en","license":"http://creativecommons.org/licenses/by/3.0/","note":"number: 4\npublisher: Multidisciplinary Digital Publishing Institute","page":"1682","source":"www.mdpi.com","title":"Do the Green Credit Guidelines Affect Corporate Green Technology Innovation? Empirical Research from China","title-short":"Do the Green Credit Guidelines Affect Corporate Green Technology Innovation?","volume":"18","author":[{"family":"Hong","given":"Min"},{"family":"Li","given":"Zhenghui"},{"family":"Drakeford","given":"Benjamin"}],"issued":{"date-parts":[["2021",1]]}}}],"schema":"https://github.com/citation-style-language/schema/raw/master/csl-citation.json"} </w:instrText>
      </w:r>
      <w:r>
        <w:rPr>
          <w:rFonts w:ascii="Times New Roman" w:hAnsi="Times New Roman"/>
        </w:rPr>
        <w:fldChar w:fldCharType="separate"/>
      </w:r>
      <w:r>
        <w:rPr>
          <w:rFonts w:ascii="Times New Roman" w:hAnsi="Times New Roman"/>
        </w:rPr>
        <w:t>Hong et al. (2021)</w:t>
      </w:r>
      <w:r>
        <w:rPr>
          <w:rFonts w:ascii="Times New Roman" w:hAnsi="Times New Roman"/>
        </w:rPr>
        <w:fldChar w:fldCharType="end"/>
      </w:r>
      <w:r>
        <w:rPr>
          <w:rFonts w:ascii="Times New Roman" w:hAnsi="Times New Roman"/>
        </w:rPr>
        <w:t xml:space="preserve"> found that green credit guidelines mainly limited green technology innovation through reducing debt financing, rather than financing constraints. A</w:t>
      </w:r>
      <w:r>
        <w:rPr>
          <w:rFonts w:hint="eastAsia" w:ascii="Times New Roman" w:hAnsi="Times New Roman"/>
        </w:rPr>
        <w:t>ddi</w:t>
      </w:r>
      <w:r>
        <w:rPr>
          <w:rFonts w:ascii="Times New Roman" w:hAnsi="Times New Roman"/>
        </w:rPr>
        <w:t xml:space="preserve">tionally, </w:t>
      </w:r>
      <w:r>
        <w:rPr>
          <w:rFonts w:ascii="Times New Roman" w:hAnsi="Times New Roman"/>
        </w:rPr>
        <w:fldChar w:fldCharType="begin"/>
      </w:r>
      <w:r>
        <w:rPr>
          <w:rFonts w:ascii="Times New Roman" w:hAnsi="Times New Roman"/>
        </w:rPr>
        <w:instrText xml:space="preserve"> ADDIN ZOTERO_ITEM CSL_CITATION {"citationID":"vghjkzCA","properties":{"formattedCitation":"(Chen et al., 2022)","plainCitation":"(Chen et al., 2022)","dontUpdate":true,"noteIndex":0},"citationItems":[{"id":4045,"uris":["http://zotero.org/users/9299646/items/8HXBSCFD"],"itemData":{"id":4045,"type":"article-journal","abstract":"While the advancing process of achieving the carbon-neutral goal, how green credit policies guide enterprises to green production and low-carbon technology innovation has received much attention Based on the microdata of Chinese enterprises from 2004 to 2019, this paper constructs a difference-in-differences (DID) model according to the Green Credit Guidelines to investigate the impact of green credit policies on enterprises' low-carbon technological innovation and its influence mechanism. The findings include that (1) green credit policy can significantly promote low-carbon technology innovation; (2) green credit policy has a more significant promotion effect on the low-carbon technology innovation of state-owned enterprises and ESG-certified companies; (3) mechanism analysis shows that green credit policies promote enterprises' low-carbon technology innovation by increasing their R&amp;D investment and management efficiency. This study helps policymakers to better understand the impact of green credit policies on low-carbon technology innovation and provides evidence to support the promotion of energy conservation and emission reduction in developing countries.","container-title":"Journal of Cleaner Production","DOI":"10.1016/j.jclepro.2022.132061","ISSN":"0959-6526","journalAbbreviation":"Journal of Cleaner Production","language":"en","page":"132061","source":"ScienceDirect","title":"Can green credit policy promote low-carbon technology innovation?","volume":"359","author":[{"family":"Chen","given":"Zhigang"},{"family":"Zhang","given":"Yuqi"},{"family":"Wang","given":"Haisen"},{"family":"Ouyang","given":"Xiao"},{"family":"Xie","given":"Yuxi"}],"issued":{"date-parts":[["2022",7,20]]}}}],"schema":"https://github.com/citation-style-language/schema/raw/master/csl-citation.json"} </w:instrText>
      </w:r>
      <w:r>
        <w:rPr>
          <w:rFonts w:ascii="Times New Roman" w:hAnsi="Times New Roman"/>
        </w:rPr>
        <w:fldChar w:fldCharType="separate"/>
      </w:r>
      <w:r>
        <w:rPr>
          <w:rFonts w:ascii="Times New Roman" w:hAnsi="Times New Roman"/>
        </w:rPr>
        <w:t>Chen et al. (2022)</w:t>
      </w:r>
      <w:r>
        <w:rPr>
          <w:rFonts w:ascii="Times New Roman" w:hAnsi="Times New Roman"/>
        </w:rPr>
        <w:fldChar w:fldCharType="end"/>
      </w:r>
      <w:r>
        <w:rPr>
          <w:rFonts w:ascii="Times New Roman" w:hAnsi="Times New Roman"/>
        </w:rPr>
        <w:t xml:space="preserve"> </w:t>
      </w:r>
      <w:r>
        <w:rPr>
          <w:rFonts w:hint="eastAsia" w:ascii="Times New Roman" w:hAnsi="Times New Roman"/>
        </w:rPr>
        <w:t>be</w:t>
      </w:r>
      <w:r>
        <w:rPr>
          <w:rFonts w:ascii="Times New Roman" w:hAnsi="Times New Roman"/>
        </w:rPr>
        <w:t>lieved that the policy promoted enterprises’ low-carbon technology innovation by increasing their R&amp;D investment and management efficiency. E</w:t>
      </w:r>
      <w:r>
        <w:rPr>
          <w:rFonts w:hint="eastAsia" w:ascii="Times New Roman" w:hAnsi="Times New Roman"/>
        </w:rPr>
        <w:t>ven</w:t>
      </w:r>
      <w:r>
        <w:rPr>
          <w:rFonts w:ascii="Times New Roman" w:hAnsi="Times New Roman"/>
        </w:rPr>
        <w:t xml:space="preserve"> so, most of the research </w:t>
      </w:r>
      <w:r>
        <w:rPr>
          <w:rFonts w:hint="eastAsia" w:ascii="Times New Roman" w:hAnsi="Times New Roman"/>
        </w:rPr>
        <w:t>agree</w:t>
      </w:r>
      <w:r>
        <w:rPr>
          <w:rFonts w:ascii="Times New Roman" w:hAnsi="Times New Roman"/>
        </w:rPr>
        <w:t xml:space="preserve">d the positive effects were more significant for state-owned and large enterprises </w:t>
      </w:r>
      <w:r>
        <w:rPr>
          <w:rFonts w:ascii="Times New Roman" w:hAnsi="Times New Roman"/>
        </w:rPr>
        <w:fldChar w:fldCharType="begin"/>
      </w:r>
      <w:r>
        <w:rPr>
          <w:rFonts w:ascii="Times New Roman" w:hAnsi="Times New Roman"/>
        </w:rPr>
        <w:instrText xml:space="preserve"> ADDIN ZOTERO_ITEM CSL_CITATION {"citationID":"p1GCsl86","properties":{"formattedCitation":"(Hong et al., 2021; Hu et al., 2021)","plainCitation":"(Hong et al., 2021; Hu et al., 2021)","noteIndex":0},"citationItems":[{"id":4049,"uris":["http://zotero.org/users/9299646/items/EK2N7PW8"],"itemData":{"id":4049,"type":"article-journal","abstract":"Green technology innovation is regarded as an important means to achieve sustainable development. Countries all over the world mainly implement green technology innovation policies from the aspects of environmental regulation and financing constraints. The effect of financing constraint policy on enterprise green technology innovation remains to be investigated. Based on the event of “green credit guidelines” issued by China Banking Regulatory Commission in 2012, this paper collects the panel data of China’s 2825 listed companies from 2007 to 2018, constructs a difference-in-difference model, and studies the impact of green credit guidelines on corporate green technology innovation and its mechanism. The empirical results show: First, green credit guidelines can promote corporate green technology innovation on the whole. Second, the mechanism of green credit on enterprise green technology innovation is identified. Green credit guidelines mainly limited green technology innovation through reducing debt financing, rather than through financing constraints. Third, the impact of green credit guidelines on green technology innovation is heterogeneous. Green credit guidelines have a significant effect on the green technology innovation of state-owned and large enterprises, but have no effect on the green technology innovation of non-state-owned and small ones.","container-title":"International Journal of Environmental Research and Public Health","DOI":"10.3390/ijerph18041682","ISSN":"1660-4601","issue":"4","language":"en","license":"http://creativecommons.org/licenses/by/3.0/","note":"number: 4\npublisher: Multidisciplinary Digital Publishing Institute","page":"1682","source":"www.mdpi.com","title":"Do the Green Credit Guidelines Affect Corporate Green Technology Innovation? Empirical Research from China","title-short":"Do the Green Credit Guidelines Affect Corporate Green Technology Innovation?","volume":"18","author":[{"family":"Hong","given":"Min"},{"family":"Li","given":"Zhenghui"},{"family":"Drakeford","given":"Benjamin"}],"issued":{"date-parts":[["2021",1]]}}},{"id":4039,"uris":["http://zotero.org/users/9299646/items/4GL5RMK9"],"itemData":{"id":4039,"type":"article-journal","abstract":"This paper investigates the effect of the green credit policy (GCP) on green innovation in heavily polluting enterprises (HPEs) using the promulgation of the “Green Credit Guidelines” (2012 Guidelines) policy in China as a quasi-natural experiment. The findings show that the 2012 Guidelines have had a positive and significant effect on the green patent output of HPEs, especially HPEs under stronger financial constraints. Furthermore, this positive effect occurred predominantly in HPEs with higher expected sunk costs or noncompliance costs, more intense product market competition, and state ownership. These results suggest that the GCP can stimulate green innovation in HPEs by exerting credit constraints, thus achieving green transformation in an emerging economy.","container-title":"Energy Economics","DOI":"10.1016/j.eneco.2021.105134","ISSN":"0140-9883","journalAbbreviation":"Energy Economics","language":"en","page":"105134","source":"ScienceDirect","title":"Can the green credit policy stimulate green innovation in heavily polluting enterprises? Evidence from a quasi-natural experiment in China","title-short":"Can the green credit policy stimulate green innovation in heavily polluting enterprises?","volume":"98","author":[{"family":"Hu","given":"Guoqiang"},{"family":"Wang","given":"Xiaoqi"},{"family":"Wang","given":"Yu"}],"issued":{"date-parts":[["2021",6,1]]}}}],"schema":"https://github.com/citation-style-language/schema/raw/master/csl-citation.json"} </w:instrText>
      </w:r>
      <w:r>
        <w:rPr>
          <w:rFonts w:ascii="Times New Roman" w:hAnsi="Times New Roman"/>
        </w:rPr>
        <w:fldChar w:fldCharType="separate"/>
      </w:r>
      <w:r>
        <w:rPr>
          <w:rFonts w:ascii="Times New Roman" w:hAnsi="Times New Roman"/>
        </w:rPr>
        <w:t>(Hong et al., 2021; Hu et al., 2021)</w:t>
      </w:r>
      <w:r>
        <w:rPr>
          <w:rFonts w:ascii="Times New Roman" w:hAnsi="Times New Roman"/>
        </w:rPr>
        <w:fldChar w:fldCharType="end"/>
      </w:r>
      <w:r>
        <w:rPr>
          <w:rFonts w:ascii="Times New Roman" w:hAnsi="Times New Roman"/>
        </w:rPr>
        <w:t>.</w:t>
      </w:r>
    </w:p>
    <w:p>
      <w:pPr>
        <w:spacing w:line="312" w:lineRule="auto"/>
        <w:ind w:firstLine="420"/>
        <w:rPr>
          <w:rFonts w:ascii="Times New Roman" w:hAnsi="Times New Roman"/>
        </w:rPr>
      </w:pPr>
    </w:p>
    <w:p>
      <w:pPr>
        <w:spacing w:line="312" w:lineRule="auto"/>
        <w:ind w:firstLine="420"/>
        <w:rPr>
          <w:rFonts w:hint="eastAsia" w:ascii="Times New Roman" w:hAnsi="Times New Roman"/>
        </w:rPr>
      </w:pPr>
      <w:r>
        <w:rPr>
          <w:rFonts w:ascii="Times New Roman" w:hAnsi="Times New Roman"/>
        </w:rPr>
        <w:t xml:space="preserve">This paper provides a relatively comprehensive review of the driving factors that affect corporate environmental management, and introduces the corresponding impact mechanisms. In terms of research data and methods, most studies use questionnaire surveys or public data from listed companies. The survey data include surveys conducted by both authors and official organizations. With survey data, the ordinary econometric regression model, </w:t>
      </w:r>
      <w:r>
        <w:rPr>
          <w:rFonts w:hint="eastAsia" w:ascii="Times New Roman" w:hAnsi="Times New Roman"/>
          <w:lang w:val="en-US" w:eastAsia="zh-CN"/>
        </w:rPr>
        <w:t xml:space="preserve">the </w:t>
      </w:r>
      <w:r>
        <w:rPr>
          <w:rFonts w:ascii="Times New Roman" w:hAnsi="Times New Roman"/>
        </w:rPr>
        <w:t xml:space="preserve">structural equation model, and simple descriptive statistical analysis are the most popular methods employed in analyzing key drivers. The survey data from official organizations, such as a survey on the state corporations’ social responsibility undertaken by the World Bank and the China Center for Economic Research of Peking University </w:t>
      </w:r>
      <w:r>
        <w:rPr>
          <w:rFonts w:ascii="Times New Roman" w:hAnsi="Times New Roman"/>
        </w:rPr>
        <w:fldChar w:fldCharType="begin"/>
      </w:r>
      <w:r>
        <w:rPr>
          <w:rFonts w:ascii="Times New Roman" w:hAnsi="Times New Roman"/>
        </w:rPr>
        <w:instrText xml:space="preserve"> ADDIN ZOTERO_ITEM CSL_CITATION {"citationID":"VBEgiolK","properties":{"formattedCitation":"(Bu et al., 2020; Qi et al., 2013)","plainCitation":"(Bu et al., 2020; Qi et al., 2013)","noteIndex":0},"citationItems":[{"id":3325,"uris":["http://zotero.org/users/9299646/items/N9RFIS8S"],"itemData":{"id":3325,"type":"article-journal","abstract":"Porter Hypothesis has evoked almost three-decade debate on whether environmental regulation can stimulate firm innovation. However, one missing component in this long stream of literature is the absence of voluntary environmental regulation when defining environmental regulation policy in the first place. We address this gap by examining the impact of the voluntary environmental certification of ISO 14000 on firm innovation. Adopting firm-level survey data, our results show that ISO 14000 certification leads to more innovation input and output in sampled Chinese firms. Therefore, our study sheds light to the debate on Porter Hypothesis and contributes to green innovation literature.","container-title":"Economic Modelling","DOI":"10.1016/j.econmod.2019.12.020","ISSN":"0264-9993","journalAbbreviation":"Economic Modelling","language":"en","page":"10-18","source":"ScienceDirect","title":"Voluntary environmental regulation and firm innovation in China","volume":"89","author":[{"family":"Bu","given":"Maoliang"},{"family":"Qiao","given":"Zhenzi"},{"family":"Liu","given":"Beibei"}],"issued":{"date-parts":[["2020",7,1]]}}},{"id":3264,"uris":["http://zotero.org/users/9299646/items/IDJ2UBY5"],"itemData":{"id":3264,"type":"article-journal","abstract":"Facing the challenge of environmental degradation in China, a growing number of firms have begun to integrate environmental management systems into their business strategies and develop green innovation strategies. Based on the stakeholder theory, this paper attempts to explore the influences of stakeholders on the implementation of green process and green product innovation. Empirical results show that foreign customers play a significant role in driving companies to adopt strategy of green process and green product innovation. For foreign-invested enterprises, the effect is limited to the adoption of green process innovation. It further reveals that community stakeholders and regulatory stakeholders have no significant effect on the corporate green process and green product innovation. Copyright © 2011 John Wiley &amp; Sons, Ltd and ERP Environment.","container-title":"Corporate Social Responsibility and Environmental Management","DOI":"10.1002/csr.283","ISSN":"1535-3966","issue":"1","language":"en","note":"_eprint: https://onlinelibrary.wiley.com/doi/pdf/10.1002/csr.283","page":"1-14","source":"Wiley Online Library","title":"Stakeholders' Influences on Corporate Green Innovation Strategy: A Case Study of Manufacturing Firms in China","title-short":"Stakeholders' Influences on Corporate Green Innovation Strategy","volume":"20","author":[{"family":"Qi","given":"Guoyou"},{"family":"Zeng","given":"Saixing"},{"family":"Chiming","given":"Tam"},{"family":"Haitao","given":"Yin"},{"family":"Hailiang","given":"Zou"}],"issued":{"date-parts":[["2013"]]}}}],"schema":"https://github.com/citation-style-language/schema/raw/master/csl-citation.json"} </w:instrText>
      </w:r>
      <w:r>
        <w:rPr>
          <w:rFonts w:ascii="Times New Roman" w:hAnsi="Times New Roman"/>
        </w:rPr>
        <w:fldChar w:fldCharType="separate"/>
      </w:r>
      <w:r>
        <w:rPr>
          <w:rFonts w:ascii="Times New Roman" w:hAnsi="Times New Roman"/>
        </w:rPr>
        <w:t>(Bu et al., 2020; Qi et al., 2013)</w:t>
      </w:r>
      <w:r>
        <w:rPr>
          <w:rFonts w:ascii="Times New Roman" w:hAnsi="Times New Roman"/>
        </w:rPr>
        <w:fldChar w:fldCharType="end"/>
      </w:r>
      <w:r>
        <w:rPr>
          <w:rFonts w:ascii="Times New Roman" w:hAnsi="Times New Roman"/>
        </w:rPr>
        <w:t xml:space="preserve">. Research based on public data of listed companies is usually analyzed using econometric methods. While regarding the research on regulatory policy evaluation, many scholars use DID technique, a method based on quasi-natural experiments, to test the impact of a certain regulatory instrument/mean </w:t>
      </w:r>
      <w:r>
        <w:rPr>
          <w:rFonts w:ascii="Times New Roman" w:hAnsi="Times New Roman"/>
        </w:rPr>
        <w:fldChar w:fldCharType="begin"/>
      </w:r>
      <w:r>
        <w:rPr>
          <w:rFonts w:ascii="Times New Roman" w:hAnsi="Times New Roman"/>
        </w:rPr>
        <w:instrText xml:space="preserve"> ADDIN ZOTERO_ITEM CSL_CITATION {"citationID":"ID9JuaQL","properties":{"formattedCitation":"(Pan and Yao, 2021; Zhang and Vigne, 2021)","plainCitation":"(Pan and Yao, 2021; Zhang and Vigne, 2021)","noteIndex":0},"citationItems":[{"id":3436,"uris":["http://zotero.org/users/9299646/items/PDZ26Q6B"],"itemData":{"id":3436,"type":"article-journal","abstract":"An increasing number of emerging countries have begun implementing central environmental protection inspection (CEPI) to make up for the lack of environmental decentralization. Extant literature has shown that CEPI improves local environmental enforcement and performance. However, it is unclear whether CEPI, which is regarded as a non-routine environmental enforcement and independent of the system of environmental decentralization, has an increasing effect on firms’ environmental disclosure. This paper selects the listed firms located in Hebei Province, the pilot province inspected by the CEPI, as the treatment group and uses the listed firms of the third and fourth rounds of inspected provinces as the control group. The difference-in-difference results show that the environmental information level and quality of listed firms in Hebei Province is improved compared with those of firms in other provinces, and the increasing effect is more significant in state-owned firms, in developed regions and in regions where local officials have more promotion incentives. The results of this study suggest that the central government should establish a regular environmental inspection mechanism and coordinate it with the system of environmental decentralization in emerging countries.","container-title":"Growth and Change","DOI":"10.1111/grow.12517","ISSN":"1468-2257","issue":"3","language":"en","note":"_eprint: https://onlinelibrary.wiley.com/doi/pdf/10.1111/grow.12517","page":"1732-1760","source":"Wiley Online Library","title":"Does central environmental protection inspection enhance firms’ environmental disclosure? Evidence from China","title-short":"Does central environmental protection inspection enhance firms’ environmental disclosure?","volume":"52","author":[{"family":"Pan","given":"Lingling"},{"family":"Yao","given":"Sheng"}],"issued":{"date-parts":[["2021"]]}}},{"id":3431,"uris":["http://zotero.org/users/9299646/items/CF5P7PL4"],"itemData":{"id":3431,"type":"article-journal","abstract":"The relationship between pollution emissions and economic development matters greatly to sustainable growth goals. China has experienced rapid growth in pollution emissions, energy consumption, and the effects of climate change. To achieve pollution reduction and energy savings targets, China's green loan policy implements a financing–pollution emissions reduction strategy for Chinese firms. Employing a difference-in-difference estimation method, we use Jiangsu Province manufacturing firm data for the period 2005 to 2013 to evaluate the effect of financing–pollution emission reduction policy tools on firm performance. Our analysis yields the following results. First, the financing–emission reduction policy has a “punishment” effect on highly polluting firm performance, including total factor productivity, profitability, and sales growth. Second, we find that these negative effects are weakened in dynamic processes. Further, pollution emissions are significantly reduced. Third, financial constraints act as the mechanism through which firm performance is punished, via the financial–emission reduction policy. Short-term and long-term bank financing decrease, while working capital and trade credit are increased to finance investment. Finally, with regard to ownership structure, state-owned firm performance is more likely to be penalized than other forms of ownership.","container-title":"Journal of Environmental Management","DOI":"10.1016/j.jenvman.2020.111609","ISSN":"0301-4797","journalAbbreviation":"Journal of Environmental Management","language":"en","page":"111609","source":"ScienceDirect","title":"The causal effect on firm performance of China's financing–pollution emission reduction policy: Firm-level evidence","title-short":"The causal effect on firm performance of China's financing–pollution emission reduction policy","volume":"279","author":[{"family":"Zhang","given":"Dongyang"},{"family":"Vigne","given":"Samuel A."}],"issued":{"date-parts":[["2021",2,1]]}}}],"schema":"https://github.com/citation-style-language/schema/raw/master/csl-citation.json"} </w:instrText>
      </w:r>
      <w:r>
        <w:rPr>
          <w:rFonts w:ascii="Times New Roman" w:hAnsi="Times New Roman"/>
        </w:rPr>
        <w:fldChar w:fldCharType="separate"/>
      </w:r>
      <w:r>
        <w:rPr>
          <w:rFonts w:ascii="Times New Roman" w:hAnsi="Times New Roman"/>
        </w:rPr>
        <w:t>(Pan and Yao, 2021; Zhang and Vigne, 2021)</w:t>
      </w:r>
      <w:r>
        <w:rPr>
          <w:rFonts w:ascii="Times New Roman" w:hAnsi="Times New Roman"/>
        </w:rPr>
        <w:fldChar w:fldCharType="end"/>
      </w:r>
      <w:r>
        <w:rPr>
          <w:rFonts w:ascii="Times New Roman" w:hAnsi="Times New Roman"/>
        </w:rPr>
        <w:t>. It is hoped that the above literature review can provide a reference for future research on firms’ environmental management improvement in Singapore.</w:t>
      </w:r>
    </w:p>
    <w:p>
      <w:pPr>
        <w:spacing w:line="312" w:lineRule="auto"/>
        <w:ind w:firstLine="420"/>
        <w:rPr>
          <w:rFonts w:ascii="Times New Roman" w:hAnsi="Times New Roman"/>
        </w:rPr>
      </w:pPr>
    </w:p>
    <w:p>
      <w:pPr>
        <w:spacing w:line="312" w:lineRule="auto"/>
        <w:ind w:firstLine="420"/>
        <w:rPr>
          <w:rFonts w:ascii="Times New Roman" w:hAnsi="Times New Roman"/>
        </w:rPr>
      </w:pPr>
    </w:p>
    <w:p>
      <w:pPr>
        <w:spacing w:line="312" w:lineRule="auto"/>
        <w:rPr>
          <w:rFonts w:ascii="Times New Roman" w:hAnsi="Times New Roman"/>
        </w:rPr>
      </w:pPr>
    </w:p>
    <w:p>
      <w:pPr>
        <w:rPr>
          <w:rFonts w:ascii="Times New Roman" w:hAnsi="Times New Roman"/>
        </w:rPr>
      </w:pPr>
    </w:p>
    <w:p>
      <w:pPr>
        <w:rPr>
          <w:rFonts w:ascii="Times New Roman" w:hAnsi="Times New Roman"/>
          <w:b/>
          <w:bCs/>
        </w:rPr>
      </w:pPr>
      <w:r>
        <w:rPr>
          <w:rFonts w:hint="eastAsia" w:ascii="Times New Roman" w:hAnsi="Times New Roman"/>
          <w:b/>
          <w:bCs/>
        </w:rPr>
        <w:br w:type="page"/>
      </w:r>
    </w:p>
    <w:p>
      <w:pPr>
        <w:spacing w:before="156" w:beforeLines="50" w:line="312" w:lineRule="auto"/>
        <w:rPr>
          <w:rFonts w:hint="eastAsia" w:ascii="Times New Roman" w:hAnsi="Times New Roman" w:cs="Times New Roman Regular"/>
          <w:b/>
          <w:bCs/>
          <w:sz w:val="22"/>
          <w:szCs w:val="28"/>
        </w:rPr>
      </w:pPr>
      <w:r>
        <w:rPr>
          <w:rFonts w:hint="eastAsia" w:ascii="Times New Roman" w:hAnsi="Times New Roman" w:cs="Times New Roman Regular"/>
          <w:b/>
          <w:bCs/>
          <w:sz w:val="22"/>
          <w:szCs w:val="28"/>
        </w:rPr>
        <w:t xml:space="preserve">References: </w:t>
      </w:r>
      <w:bookmarkStart w:id="0" w:name="_GoBack"/>
      <w:bookmarkEnd w:id="0"/>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Regular" w:hAnsi="Times New Roman Regular" w:cs="Times New Roman Regular"/>
          <w:sz w:val="18"/>
          <w:szCs w:val="18"/>
        </w:rPr>
        <w:fldChar w:fldCharType="begin"/>
      </w:r>
      <w:r>
        <w:rPr>
          <w:rFonts w:ascii="Times New Roman Regular" w:hAnsi="Times New Roman Regular" w:cs="Times New Roman Regular"/>
          <w:sz w:val="18"/>
          <w:szCs w:val="18"/>
        </w:rPr>
        <w:instrText xml:space="preserve"> ADDIN ZOTERO_BIBL {"uncited":[],"omitted":[],"custom":[]} CSL_BIBLIOGRAPHY </w:instrText>
      </w:r>
      <w:r>
        <w:rPr>
          <w:rFonts w:ascii="Times New Roman Regular" w:hAnsi="Times New Roman Regular" w:cs="Times New Roman Regular"/>
          <w:sz w:val="18"/>
          <w:szCs w:val="18"/>
        </w:rPr>
        <w:fldChar w:fldCharType="separate"/>
      </w:r>
      <w:r>
        <w:rPr>
          <w:rFonts w:ascii="Times New Roman" w:hAnsi="Times New Roman" w:cs="Times New Roman"/>
          <w:kern w:val="0"/>
          <w:sz w:val="18"/>
          <w:szCs w:val="18"/>
        </w:rPr>
        <w:t>Bansal, P., Hunter, T., 2003. Strategic Explanations for the Early Adoption of ISO 14001. J. Bus. Ethics 46, 289–299. https://doi.org/10.1023/A:1025536731830</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Besharov, M.L., Smith, W.K., 2014. Multiple Institutional Logics in Organizations: Explaining Their Varied Nature and Implications. Acad. Manage. Rev. 39, 364–381. https://doi.org/10.5465/amr.2011.0431</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Bu, M., Qiao, Z., Liu, B., 2020. Voluntary environmental regulation and firm innovation in China. Econ. Model. 89, 10–18. https://doi.org/10.1016/j.econmod.2019.12.020</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Cai, W., Li, G., 2018. The drivers of eco-innovation and its impact on performance: Evidence from China. J. Clean. Prod. 176, 110–118. https://doi.org/10.1016/j.jclepro.2017.12.109</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Chan, H.K., Yee, R.W.Y., Dai, J., Lim, M.K., 2016. The moderating effect of environmental dynamism on green product innovation and performance. Int. J. Prod. Econ., Recent Development Of Sustainable Consumption And Production In Emerging Markets 181, 384–391. https://doi.org/10.1016/j.ijpe.2015.12.006</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Chen, H., Guo, W., Feng, X., Wei, W., Liu, H., Feng, Y., Gong, W., 2021. The impact of low-carbon city pilot policy on the total factor productivity of listed enterprises in China. Resour. Conserv. Recycl. 169, 105457. https://doi.org/10.1016/j.resconrec.2021.105457</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Chen, Z., Zhang, Y., Wang, H., Ouyang, X., Xie, Y., 2022. Can green credit policy promote low-carbon technology innovation? J. Clean. Prod. 359, 132061. https://doi.org/10.1016/j.jclepro.2022.132061</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Cheng, J., Yi, J., Dai, S., Xiong, Y., 2019. Can low-carbon city construction facilitate green growth? Evidence from China’s pilot low-carbon city initiative. J. Clean. Prod. 231, 1158–1170. https://doi.org/10.1016/j.jclepro.2019.05.327</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Christmann, P., Taylor, G., 2001. Globalization and the Environment: Determinants of Firm Self-Regulation in China. J. Int. Bus. Stud. 32, 439–458. https://doi.org/10.1057/palgrave.jibs.8490976</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Egri, C.P., Herman, S., 2000. Leadership in the North American environmental sector: Values, leadership styles, and contexts of environmental leaders and their organizations. Acad. Manage. J. 43, 571–604. https://doi.org/10.2307/1556356</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Faccio, M., 2010. Differences between Politically Connected and Nonconnected Firms: A Cross-Country Analysis. Financ. Manag. 39, 905–928. https://doi.org/10.1111/j.1755-053X.2010.01099.x</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Fan, L., Yang, K., Liu, L., 2020. New media environment, environmental information disclosure and firm valuation: Evidence from high-polluting enterprises in China. J. Clean. Prod. 277, 123253. https://doi.org/10.1016/j.jclepro.2020.123253</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Fisman, R., 2001. Estimating the Value of Political Connections. Am. Econ. Rev. 91, 1095–1102. https://doi.org/10.1257/aer.91.4.1095</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Gangadharan, L., 2006. Environmental compliance by firms in the manufacturing sector in Mexico. Ecol. Econ. 59, 477–486. https://doi.org/10.1016/j.ecolecon.2005.10.023</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Gao, Y., Li, M., Xue, J., Liu, Y., 2020. Evaluation of effectiveness of China’s carbon emissions trading scheme in carbon mitigation. Energy Econ. 90, 104872. https://doi.org/10.1016/j.eneco.2020.104872</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Hamilton, J.T., 1995. Pollution as news: Media and stock market reactions to the toxics release inventory data. J. Environ. Econ. Manag. 28, 98–113. https://doi.org/10.1006/jeem.1995.1007</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Hong, M., Li, Z., Drakeford, B., 2021. Do the Green Credit Guidelines Affect Corporate Green Technology Innovation? Empirical Research from China. Int. J. Environ. Res. Public. Health 18, 1682. https://doi.org/10.3390/ijerph18041682</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Horbach, J., 2008. Determinants of environmental innovation—New evidence from German panel data sources. Res. Policy 37, 163–173. https://doi.org/10.1016/j.respol.2007.08.006</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Hu, G., Wang, X., Wang, Y., 2021. Can the green credit policy stimulate green innovation in heavily polluting enterprises? Evidence from a quasi-natural experiment in China. Energy Econ. 98, 105134. https://doi.org/10.1016/j.eneco.2021.105134</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Hu, J., Wang, S., Xie, F., 2018. Environmental responsibility, market valuation, and firm characteristics: Evidence from China. Corp. Soc. Responsib. Environ. Manag. 25, 1376–1387. https://doi.org/10.1002/csr.1646</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Huang, H., Zhang, J., 2021. Research on the Environmental Effect of Green Finance Policy Based on the Analysis of Pilot Zones for Green Finance Reform and Innovations. Sustainability 13, 3754. https://doi.org/10.3390/su13073754</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Jorgenson, D.W., Wilcoxen, P.J., 1990. Environmental Regulation and U.S. Economic Growth. RAND J. Econ. 21, 314–340. https://doi.org/10.2307/2555426</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Kagan, R.A., Gunningham, N., Thornton, D., 2003. Explaining corporate environmental performance: How does regulation matter? Law Soc. Rev. 37, 51–90. https://doi.org/10.1111/1540-5893.3701002</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Kammerer, D., 2009. The effects of customer benefit and regulation on environmental product innovation. Empirical evidence from appliance manufacturers in Germany. Ecol. Econ. 68, 2285–2295. https://doi.org/10.1016/j.ecolecon.2009.02.016</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King, A.A., Lenox, M.J., 2000. Industry self-regulation without sanctions: The chemical industry’s responsible care program. Acad. Manage. J. 43, 698–716. https://doi.org/10.2307/1556362</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Klette, T.J., Møen, J., Griliches, Z., 2000. Do subsidies to commercial R&amp;D reduce market failures? Microeconometric evaluation studies1We have benefited from comments by Tore Nilssen, John van Reenen and participants at the NBER productivity meeting in December 1998. This project has received partial financial support from the Research Council of Norway.1. Res. Policy 29, 471–495. https://doi.org/10.1016/S0048-7333(99)00086-4</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Lin, B., Huang, C., 2022. Analysis of emission reduction effects of carbon trading: Market mechanism or government intervention? Sustain. Prod. Consum. 33, 28–37. https://doi.org/10.1016/j.spc.2022.06.016</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Lin, H., Zeng, S.X., Ma, H.Y., Qi, G.Y., Tam, V.W.Y., 2014. Can political capital drive corporate green innovation? Lessons from China. J. Clean. Prod. 64, 63–72. https://doi.org/10.1016/j.jclepro.2013.07.046</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Liu, J., Zhao, M., Wang, Y., 2020. Impacts of government subsidies and environmental regulations on green process innovation: A nonlinear approach. Technol. Soc. 63, 101417. https://doi.org/10.1016/j.techsoc.2020.101417</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Liu, W., Qin, B., 2016. Low-carbon city initiatives in China: A review from the policy paradigm perspective. Cities, Current Research on Cities 51, 131–138. https://doi.org/10.1016/j.cities.2015.11.010</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Liu, X., Liu, B., Shishime, T., Yu, Q., Bi, J., Fujitsuka, T., 2010. An empirical study on the driving mechanism of proactive corporate environmental management in China. J. Environ. Manage. 91, 1707–1717. https://doi.org/10.1016/j.jenvman.2010.03.011</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Liu, Y., 2009. Investigating external environmental pressure on firms and their behavior in Yangtze River Delta of China. J. Clean. Prod. 17, 1480–1486. https://doi.org/10.1016/j.jclepro.2009.05.010</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Lu, N., Wu, J., Liu, Z., 2022. How Does Green Finance Reform Affect Enterprise Green Technology Innovation? Evidence from China. Sustainability 14, 9865. https://doi.org/10.3390/su14169865</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Lv, M., Bai, M., 2021. Evaluation of China’s carbon emission trading policy from corporate innovation. Finance Res. Lett. 39, 101565. https://doi.org/10.1016/j.frl.2020.101565</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Pan, L., Yao, S., 2021. Does central environmental protection inspection enhance firms’ environmental disclosure? Evidence from China. Growth Change 52, 1732–1760. https://doi.org/10.1111/grow.12517</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Qi, G., Zeng, S., Chiming, T., Haitao, Y., Hailiang, Z., 2013. Stakeholders’ Influences on Corporate Green Innovation Strategy: A Case Study of Manufacturing Firms in China. Corp. Soc. Responsib. Environ. Manag. 20, 1–14. https://doi.org/10.1002/csr.283</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Qi, S.-Z., Zhou, C.-B., Li, K., Tang, S.-Y., 2021. Influence of a pilot carbon trading policy on enterprises’ low-carbon innovation in China. Clim. Policy 21, 318–336. https://doi.org/10.1080/14693062.2020.1864268</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Ramus, C.A., Steger, U., 2000. The Roles of Supervisory Support Behaviors and Environmental Policy in Employee “Ecoinitiatives” at Leading-Edge European Companies. Acad. Manage. J. 43, 605–626. https://doi.org/10.5465/1556357</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Ren, S., Sun, H., Zhang, T., 2021. Do environmental subsidies spur environmental innovation? Empirical evidence from Chinese listed firms. Technol. Forecast. Soc. Change 173, 121123. https://doi.org/10.1016/j.techfore.2021.121123</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Roome, N., Wijen, F., 2006. Stakeholder power and organizational learning in corporate environmental management. Organ. Stud. 27, 235–263. https://doi.org/10.1177/0170840605057669</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Rugman, A.M., Verbeke, A., 1998. Corporate strategies and environmental regulations: An organizing framework. Strateg. Manag. J. 19, 363–375. https://doi.org/10.1002/(SICI)1097-0266(199804)19:4&lt;363::AID-SMJ974&gt;3.0.CO;2-H</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Shi, B., Li, N., Gao, Q., Li, G., 2022a. Market incentives, carbon quota allocation and carbon emission reduction: Evidence from China’s carbon trading pilot policy. J. Environ. Manage. 319, 115650. https://doi.org/10.1016/j.jenvman.2022.115650</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Shi, B., Yang, F., Kang, R., 2022b. Disclosure of enterprises’ environmental violations: evidence from Chinese public supervision. Environ. Dev. Econ. 1–21. https://doi.org/10.1017/S1355770X22000304</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Stalley, P., 2009. Can Trade Green China? Participation in the global economy and the environmental performance of Chinese firms. J. Contemp. China 18, 567–590. https://doi.org/10.1080/10670560903033869</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Stephan, M., 2002. Environmental information disclosure programs: they work, but why? Soc. Sci. Q. 83, 190–205. https://doi.org/10.1111/1540-6237.00078</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Tan, S., Yang, J., Yan, J., Lee, C., Hashim, H., Chen, B., 2017. A holistic low carbon city indicator framework for sustainable development. Appl. Energy, Clean, Efficient and Affordable Energy for a Sustainable Future 185, 1919–1930. https://doi.org/10.1016/j.apenergy.2016.03.041</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van den Bergh, J.C.J.M., 2008. Environmental regulation of households: An empirical review of economic and psychological factors. Ecol. Econ. 66, 559–574. https://doi.org/10.1016/j.ecolecon.2008.04.007</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Wang, F., Cheng, Z., Keung, C., Reisner, A., 2015. Impact of manager characteristics on corporate environmental behavior at heavy-polluting firms in Shaanxi, China. J. Clean. Prod. 108, 707–715. https://doi.org/10.1016/j.jclepro.2015.09.059</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Wang, H., Bi, J., Wheeler, D., Wang, J., Cao, D., Lu, G., Wang, Y., 2004. Environmental performance rating and disclosure: China’s Green Watch program. J. Environ. Manage. 71, 123–133. https://doi.org/10.1016/j.jenvman.2004.01.007</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Wang, Yi, Chen, Y., Benitez-Amado, J., 2015. How information technology influences environmental performance: Empirical evidence from China. Int. J. Inf. Manag. 35, 160–170. https://doi.org/10.1016/j.ijinfomgt.2014.11.005</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Wang, Y., Lan, Q., Jiang, F., Chen, C., 2019. Construction of China’s low-carbon competitiveness evaluation system: A study based on provincial cross-section data. Int. J. Clim. Change Strateg. Manag. 12, 74–91. https://doi.org/10.1108/IJCCSM-11-2018-0076</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Wang, Y., Liu, J., Hansson, L., Zhang, K., Wang, R., 2011. Implementing stricter environmental regulation to enhance eco-efficiency and sustainability: a case study of Shandong Province’s pulp and paper industry, China. J. Clean. Prod. 19, 303–310. https://doi.org/10.1016/j.jclepro.2010.11.006</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Wang, Yufei, Song, Q., He, J., Qi, Y., 2015. Developing low-carbon cities through pilots. Clim. Policy 15, S81–S103. https://doi.org/10.1080/14693062.2015.1050347</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Wu, D., Memon, H., 2022. Public Pressure, Environmental Policy Uncertainty, and Enterprises’ Environmental Information Disclosure. Sustainability 14, 6948. https://doi.org/10.3390/su14126948</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Xu, X., Zhang, W., Wang, T., Xu, Y., Du, H., 2021. Impact of subsidies on innovations of environmental protection and circular economy in China. J. Environ. Manage. 289, 112385. https://doi.org/10.1016/j.jenvman.2021.112385</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Yang, X., Yao, Y., 2012. Environmental Compliance and Firm Performance: Evidence from China*. Oxf. Bull. Econ. Stat. 74, 397–424. https://doi.org/10.1111/j.1468-0084.2011.00649.x</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Zeng, S.X., Meng, X.H., Zeng, R.C., Tam, C.M., Tam, V.W.Y., Jin, T., 2011. How environmental management driving forces affect environmental and economic performance of SMEs: a study in the Northern China district. J. Clean. Prod. 19, 1426–1437. https://doi.org/10.1016/j.jclepro.2011.05.002</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Zeng, S.X., Tam, C.M., Tam, V.W.Y., Deng, Z.M., 2005. Towards implementation of ISO 14001 environmental management systems in selected industries in China. J. Clean. Prod. 13, 645–656. https://doi.org/10.1016/j.jclepro.2003.12.009</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Zeng, S.X., Xu, X.D., Dong, Z.Y., Tam, V.W.Y., 2010. Towards corporate environmental information disclosure: an empirical study in China. J. Clean. Prod. 18, 1142–1148. https://doi.org/10.1016/j.jclepro.2010.04.005</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Zhang, B., Bi, J., Liu, B., 2009. Drivers and barriers to engage enterprises in environmental management initiatives in Suzhou Industrial Park, China. Front. Environ. Sci. Eng. China 3, 210–220. https://doi.org/10.1007/s11783-009-0014-7</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Zhang, B., Bi, J., Yuan, Z., Ge, J., Liu, B., Bu, M., 2008. Why do firms engage in environmental management? An empirical study in China. J. Clean. Prod. 16, 1036–1045. https://doi.org/10.1016/j.jclepro.2007.06.016</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Zhang, D., Vigne, S.A., 2021. The causal effect on firm performance of China’s financing–pollution emission reduction policy: Firm-level evidence. J. Environ. Manage. 279, 111609. https://doi.org/10.1016/j.jenvman.2020.111609</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Zhao, X., Zhao, Y., Zeng, S., Zhang, S., 2015. Corporate behavior and competitiveness: impact of environmental regulation on Chinese firms. J. Clean. Prod. 86, 311–322. https://doi.org/10.1016/j.jclepro.2014.08.074</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Zheng, J., Ma, G., Wei, J., Wei, W., He, Y., Jiao, Y., Han, X., 2020. Evolutionary process of household waste separation behavior based on social networks. Resour. Conserv. Recycl. 161, 105009. https://doi.org/10.1016/j.resconrec.2020.105009</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Zhu, Q., Geng, Y., Lai, K.-H., 2010. Circular economy practices among Chinese manufacturers varying in environmental-oriented supply chain cooperation and the performance implications. J. Environ. Manage. 91, 1324–1331. https://doi.org/10.1016/j.jenvman.2010.02.013</w:t>
      </w:r>
    </w:p>
    <w:p>
      <w:pPr>
        <w:autoSpaceDE w:val="0"/>
        <w:autoSpaceDN w:val="0"/>
        <w:adjustRightInd w:val="0"/>
        <w:ind w:left="360" w:hanging="360" w:hangingChars="200"/>
        <w:jc w:val="left"/>
        <w:rPr>
          <w:rFonts w:ascii="Times New Roman" w:hAnsi="Times New Roman" w:cs="Times New Roman"/>
          <w:kern w:val="0"/>
          <w:sz w:val="18"/>
          <w:szCs w:val="18"/>
        </w:rPr>
      </w:pPr>
      <w:r>
        <w:rPr>
          <w:rFonts w:ascii="Times New Roman" w:hAnsi="Times New Roman" w:cs="Times New Roman"/>
          <w:kern w:val="0"/>
          <w:sz w:val="18"/>
          <w:szCs w:val="18"/>
        </w:rPr>
        <w:t>Zhu, Q., Sarkis, J., Lai, K., 2007. Green supply chain management: pressures, practices and performance within the Chinese automobile industry. J. Clean. Prod., The Automobile Industry &amp; Sustainability 15, 1041–1052. https://doi.org/10.1016/j.jclepro.2006.05.021</w:t>
      </w:r>
    </w:p>
    <w:p>
      <w:pPr>
        <w:ind w:left="360" w:hanging="360" w:hangingChars="200"/>
        <w:rPr>
          <w:rFonts w:ascii="Times New Roman" w:hAnsi="Times New Roman"/>
          <w:sz w:val="18"/>
          <w:szCs w:val="18"/>
        </w:rPr>
      </w:pPr>
      <w:r>
        <w:rPr>
          <w:rFonts w:ascii="Times New Roman Regular" w:hAnsi="Times New Roman Regular" w:cs="Times New Roman Regular"/>
          <w:sz w:val="18"/>
          <w:szCs w:val="18"/>
        </w:rPr>
        <w:fldChar w:fldCharType="end"/>
      </w:r>
    </w:p>
    <w:p>
      <w:pPr>
        <w:rPr>
          <w:rFonts w:ascii="Times New Roman" w:hAnsi="Times New Roman"/>
          <w:sz w:val="18"/>
          <w:szCs w:val="18"/>
        </w:rPr>
      </w:pPr>
    </w:p>
    <w:sectPr>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New Roman Regular">
    <w:altName w:val="Times New Roman"/>
    <w:panose1 w:val="02020603050405020304"/>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sz w:val="22"/>
                              <w:szCs w:val="36"/>
                            </w:rPr>
                          </w:pPr>
                          <w:r>
                            <w:rPr>
                              <w:sz w:val="24"/>
                              <w:szCs w:val="40"/>
                            </w:rPr>
                            <w:fldChar w:fldCharType="begin"/>
                          </w:r>
                          <w:r>
                            <w:rPr>
                              <w:sz w:val="24"/>
                              <w:szCs w:val="40"/>
                            </w:rPr>
                            <w:instrText xml:space="preserve"> PAGE  \* MERGEFORMAT </w:instrText>
                          </w:r>
                          <w:r>
                            <w:rPr>
                              <w:sz w:val="24"/>
                              <w:szCs w:val="40"/>
                            </w:rPr>
                            <w:fldChar w:fldCharType="separate"/>
                          </w:r>
                          <w:r>
                            <w:rPr>
                              <w:sz w:val="24"/>
                              <w:szCs w:val="40"/>
                            </w:rPr>
                            <w:t>1</w:t>
                          </w:r>
                          <w:r>
                            <w:rPr>
                              <w:sz w:val="24"/>
                              <w:szCs w:val="4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sz w:val="22"/>
                        <w:szCs w:val="36"/>
                      </w:rPr>
                    </w:pPr>
                    <w:r>
                      <w:rPr>
                        <w:sz w:val="24"/>
                        <w:szCs w:val="40"/>
                      </w:rPr>
                      <w:fldChar w:fldCharType="begin"/>
                    </w:r>
                    <w:r>
                      <w:rPr>
                        <w:sz w:val="24"/>
                        <w:szCs w:val="40"/>
                      </w:rPr>
                      <w:instrText xml:space="preserve"> PAGE  \* MERGEFORMAT </w:instrText>
                    </w:r>
                    <w:r>
                      <w:rPr>
                        <w:sz w:val="24"/>
                        <w:szCs w:val="40"/>
                      </w:rPr>
                      <w:fldChar w:fldCharType="separate"/>
                    </w:r>
                    <w:r>
                      <w:rPr>
                        <w:sz w:val="24"/>
                        <w:szCs w:val="40"/>
                      </w:rPr>
                      <w:t>1</w:t>
                    </w:r>
                    <w:r>
                      <w:rPr>
                        <w:sz w:val="24"/>
                        <w:szCs w:val="40"/>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pPr>
        <w:pStyle w:val="6"/>
      </w:pPr>
      <w:r>
        <w:rPr>
          <w:rStyle w:val="15"/>
          <w:vertAlign w:val="baseline"/>
        </w:rPr>
        <w:footnoteRef/>
      </w:r>
      <w:r>
        <w:t xml:space="preserve"> Hubei (http://www.nyjlhb.com/nyjlhb/f/view-3-0623596589bf490aa3587d38f00a4181.html)</w:t>
      </w:r>
    </w:p>
  </w:footnote>
  <w:footnote w:id="1">
    <w:p>
      <w:pPr>
        <w:pStyle w:val="6"/>
      </w:pPr>
      <w:r>
        <w:rPr>
          <w:rStyle w:val="15"/>
          <w:vertAlign w:val="baseline"/>
        </w:rPr>
        <w:footnoteRef/>
      </w:r>
      <w:r>
        <w:t xml:space="preserve"> Zhenjiang (http://www.news.cn/local/2022-07/04/c_1128802438.htm)</w:t>
      </w:r>
      <w:r>
        <w:rPr>
          <w:rFonts w:hint="eastAsia"/>
        </w:rPr>
        <w:t>;</w:t>
      </w:r>
      <w:r>
        <w:t xml:space="preserve"> </w:t>
      </w:r>
    </w:p>
    <w:p>
      <w:pPr>
        <w:pStyle w:val="6"/>
      </w:pPr>
      <w:r>
        <w:t>Zhejiang (https://www.zj.gov.cn/art/2021/8/16/art_1229560790_59126854.html)</w:t>
      </w:r>
      <w:r>
        <w:rPr>
          <w:rFonts w:hint="eastAsia"/>
        </w:rPr>
        <w:t>；</w:t>
      </w:r>
    </w:p>
  </w:footnote>
  <w:footnote w:id="2">
    <w:p>
      <w:pPr>
        <w:pStyle w:val="6"/>
      </w:pPr>
      <w:r>
        <w:rPr>
          <w:rStyle w:val="15"/>
          <w:vertAlign w:val="baseline"/>
        </w:rPr>
        <w:footnoteRef/>
      </w:r>
      <w:r>
        <w:t xml:space="preserve"> https://www.globaltimes.cn/page/202207/1270724.shtml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1ZmE5NDg5YzBhNmJmMzBmMTE5NjI0ZTZiNTA5ZWQifQ=="/>
  </w:docVars>
  <w:rsids>
    <w:rsidRoot w:val="FDDF81BE"/>
    <w:rsid w:val="00001623"/>
    <w:rsid w:val="00002058"/>
    <w:rsid w:val="0001041D"/>
    <w:rsid w:val="00013B03"/>
    <w:rsid w:val="0001741B"/>
    <w:rsid w:val="00021C90"/>
    <w:rsid w:val="00023242"/>
    <w:rsid w:val="00023D42"/>
    <w:rsid w:val="00025994"/>
    <w:rsid w:val="0003372A"/>
    <w:rsid w:val="00040983"/>
    <w:rsid w:val="000525C2"/>
    <w:rsid w:val="00061F53"/>
    <w:rsid w:val="000629C5"/>
    <w:rsid w:val="0007160A"/>
    <w:rsid w:val="00073ACE"/>
    <w:rsid w:val="000740C0"/>
    <w:rsid w:val="00075F0A"/>
    <w:rsid w:val="000A3D86"/>
    <w:rsid w:val="000C4827"/>
    <w:rsid w:val="000C643C"/>
    <w:rsid w:val="000D2069"/>
    <w:rsid w:val="000F30CB"/>
    <w:rsid w:val="000F7936"/>
    <w:rsid w:val="00110310"/>
    <w:rsid w:val="00110737"/>
    <w:rsid w:val="001257F7"/>
    <w:rsid w:val="00132815"/>
    <w:rsid w:val="001469EB"/>
    <w:rsid w:val="00147585"/>
    <w:rsid w:val="001503BF"/>
    <w:rsid w:val="001629F1"/>
    <w:rsid w:val="00162E68"/>
    <w:rsid w:val="00166137"/>
    <w:rsid w:val="00174955"/>
    <w:rsid w:val="00175420"/>
    <w:rsid w:val="00195B54"/>
    <w:rsid w:val="001A2884"/>
    <w:rsid w:val="001A72C6"/>
    <w:rsid w:val="001B5833"/>
    <w:rsid w:val="001D5BCE"/>
    <w:rsid w:val="001E253E"/>
    <w:rsid w:val="00205848"/>
    <w:rsid w:val="002079F1"/>
    <w:rsid w:val="00207E8C"/>
    <w:rsid w:val="00230752"/>
    <w:rsid w:val="002307C0"/>
    <w:rsid w:val="00232800"/>
    <w:rsid w:val="00235500"/>
    <w:rsid w:val="002406D0"/>
    <w:rsid w:val="00240B35"/>
    <w:rsid w:val="002525C0"/>
    <w:rsid w:val="00252F62"/>
    <w:rsid w:val="00255ADB"/>
    <w:rsid w:val="00255EE7"/>
    <w:rsid w:val="00262E9D"/>
    <w:rsid w:val="00265575"/>
    <w:rsid w:val="00272792"/>
    <w:rsid w:val="00292C3F"/>
    <w:rsid w:val="002A011B"/>
    <w:rsid w:val="002C241B"/>
    <w:rsid w:val="002C58C3"/>
    <w:rsid w:val="002D3133"/>
    <w:rsid w:val="00303C91"/>
    <w:rsid w:val="0032418A"/>
    <w:rsid w:val="00325222"/>
    <w:rsid w:val="00334014"/>
    <w:rsid w:val="00334FAF"/>
    <w:rsid w:val="003364E2"/>
    <w:rsid w:val="003410EC"/>
    <w:rsid w:val="00346FA1"/>
    <w:rsid w:val="00354343"/>
    <w:rsid w:val="00355776"/>
    <w:rsid w:val="00393E85"/>
    <w:rsid w:val="003B7AC1"/>
    <w:rsid w:val="003C0426"/>
    <w:rsid w:val="003D4E95"/>
    <w:rsid w:val="003F5AEB"/>
    <w:rsid w:val="00404FFD"/>
    <w:rsid w:val="00423A4B"/>
    <w:rsid w:val="0042767E"/>
    <w:rsid w:val="00435B5E"/>
    <w:rsid w:val="00440FC3"/>
    <w:rsid w:val="00441E23"/>
    <w:rsid w:val="00466B9A"/>
    <w:rsid w:val="00473F5B"/>
    <w:rsid w:val="00474127"/>
    <w:rsid w:val="00490264"/>
    <w:rsid w:val="004908E8"/>
    <w:rsid w:val="004B6AE3"/>
    <w:rsid w:val="004D1DF3"/>
    <w:rsid w:val="004E1E34"/>
    <w:rsid w:val="004E2871"/>
    <w:rsid w:val="004E3AB2"/>
    <w:rsid w:val="00501934"/>
    <w:rsid w:val="00504F80"/>
    <w:rsid w:val="00510041"/>
    <w:rsid w:val="005103A2"/>
    <w:rsid w:val="00513BB7"/>
    <w:rsid w:val="00517B9C"/>
    <w:rsid w:val="0052263E"/>
    <w:rsid w:val="0053431D"/>
    <w:rsid w:val="00535165"/>
    <w:rsid w:val="00536B7C"/>
    <w:rsid w:val="00537550"/>
    <w:rsid w:val="00542634"/>
    <w:rsid w:val="00544B70"/>
    <w:rsid w:val="00545E1E"/>
    <w:rsid w:val="00563D5C"/>
    <w:rsid w:val="00564E26"/>
    <w:rsid w:val="00574CC9"/>
    <w:rsid w:val="005911A5"/>
    <w:rsid w:val="0059233E"/>
    <w:rsid w:val="00595366"/>
    <w:rsid w:val="005A361D"/>
    <w:rsid w:val="005B5835"/>
    <w:rsid w:val="005C1F5A"/>
    <w:rsid w:val="005C5C18"/>
    <w:rsid w:val="005D19A4"/>
    <w:rsid w:val="005D4DB9"/>
    <w:rsid w:val="005E2755"/>
    <w:rsid w:val="005E2B88"/>
    <w:rsid w:val="005E2FF3"/>
    <w:rsid w:val="005E43FA"/>
    <w:rsid w:val="005E62F2"/>
    <w:rsid w:val="005E746D"/>
    <w:rsid w:val="005F63CB"/>
    <w:rsid w:val="006012DC"/>
    <w:rsid w:val="00614E49"/>
    <w:rsid w:val="00630E17"/>
    <w:rsid w:val="00631CC8"/>
    <w:rsid w:val="0063586C"/>
    <w:rsid w:val="00640A96"/>
    <w:rsid w:val="00646B20"/>
    <w:rsid w:val="00654A10"/>
    <w:rsid w:val="00661FCC"/>
    <w:rsid w:val="00664E24"/>
    <w:rsid w:val="00674027"/>
    <w:rsid w:val="00692296"/>
    <w:rsid w:val="00693341"/>
    <w:rsid w:val="006939A8"/>
    <w:rsid w:val="00695264"/>
    <w:rsid w:val="006A09DF"/>
    <w:rsid w:val="006C7D95"/>
    <w:rsid w:val="006E5643"/>
    <w:rsid w:val="006E6BD6"/>
    <w:rsid w:val="006F38BE"/>
    <w:rsid w:val="006F5C87"/>
    <w:rsid w:val="0070609F"/>
    <w:rsid w:val="00716E3D"/>
    <w:rsid w:val="0072438D"/>
    <w:rsid w:val="007300FA"/>
    <w:rsid w:val="007303B3"/>
    <w:rsid w:val="0073457E"/>
    <w:rsid w:val="00735169"/>
    <w:rsid w:val="007422AB"/>
    <w:rsid w:val="007445D8"/>
    <w:rsid w:val="00745966"/>
    <w:rsid w:val="007527E0"/>
    <w:rsid w:val="00767FE6"/>
    <w:rsid w:val="00776358"/>
    <w:rsid w:val="007A1411"/>
    <w:rsid w:val="007A1750"/>
    <w:rsid w:val="007A4A24"/>
    <w:rsid w:val="007B3419"/>
    <w:rsid w:val="007B40CF"/>
    <w:rsid w:val="007C056E"/>
    <w:rsid w:val="007C331F"/>
    <w:rsid w:val="007D2D1A"/>
    <w:rsid w:val="00802387"/>
    <w:rsid w:val="00805DE3"/>
    <w:rsid w:val="0081237F"/>
    <w:rsid w:val="00823FE6"/>
    <w:rsid w:val="008325ED"/>
    <w:rsid w:val="0084300B"/>
    <w:rsid w:val="008676C3"/>
    <w:rsid w:val="00873AD3"/>
    <w:rsid w:val="008803E2"/>
    <w:rsid w:val="008809F6"/>
    <w:rsid w:val="008845EB"/>
    <w:rsid w:val="00885030"/>
    <w:rsid w:val="00886320"/>
    <w:rsid w:val="00887A6C"/>
    <w:rsid w:val="008B1862"/>
    <w:rsid w:val="008B5B81"/>
    <w:rsid w:val="008C0A32"/>
    <w:rsid w:val="008D68C5"/>
    <w:rsid w:val="008E5044"/>
    <w:rsid w:val="008E598C"/>
    <w:rsid w:val="008F633F"/>
    <w:rsid w:val="009052E7"/>
    <w:rsid w:val="00906ED4"/>
    <w:rsid w:val="009079C7"/>
    <w:rsid w:val="009177A1"/>
    <w:rsid w:val="00925B96"/>
    <w:rsid w:val="00931B79"/>
    <w:rsid w:val="0093561B"/>
    <w:rsid w:val="00937BA8"/>
    <w:rsid w:val="009424D4"/>
    <w:rsid w:val="00942E4D"/>
    <w:rsid w:val="00950FA9"/>
    <w:rsid w:val="009511F4"/>
    <w:rsid w:val="00954E10"/>
    <w:rsid w:val="009621A4"/>
    <w:rsid w:val="009717B9"/>
    <w:rsid w:val="00974B8C"/>
    <w:rsid w:val="00975886"/>
    <w:rsid w:val="00977877"/>
    <w:rsid w:val="00982A48"/>
    <w:rsid w:val="009854FD"/>
    <w:rsid w:val="009874EF"/>
    <w:rsid w:val="009A56BA"/>
    <w:rsid w:val="009B0686"/>
    <w:rsid w:val="009C0C0D"/>
    <w:rsid w:val="009C4A74"/>
    <w:rsid w:val="009C5B16"/>
    <w:rsid w:val="009E56AC"/>
    <w:rsid w:val="009E6EAF"/>
    <w:rsid w:val="009E77AE"/>
    <w:rsid w:val="009E7FB9"/>
    <w:rsid w:val="009F0C64"/>
    <w:rsid w:val="00A1531C"/>
    <w:rsid w:val="00A16F42"/>
    <w:rsid w:val="00A17732"/>
    <w:rsid w:val="00A17874"/>
    <w:rsid w:val="00A46E1F"/>
    <w:rsid w:val="00A552EC"/>
    <w:rsid w:val="00A622E9"/>
    <w:rsid w:val="00A81F73"/>
    <w:rsid w:val="00A8365C"/>
    <w:rsid w:val="00A8424B"/>
    <w:rsid w:val="00A93ED2"/>
    <w:rsid w:val="00A94E6E"/>
    <w:rsid w:val="00AA4449"/>
    <w:rsid w:val="00AB0D13"/>
    <w:rsid w:val="00AC1BFA"/>
    <w:rsid w:val="00AC3F63"/>
    <w:rsid w:val="00AD420F"/>
    <w:rsid w:val="00AD5002"/>
    <w:rsid w:val="00AD5738"/>
    <w:rsid w:val="00AE62F6"/>
    <w:rsid w:val="00AE662A"/>
    <w:rsid w:val="00AF2391"/>
    <w:rsid w:val="00AF52D7"/>
    <w:rsid w:val="00AF62D1"/>
    <w:rsid w:val="00B05053"/>
    <w:rsid w:val="00B2031B"/>
    <w:rsid w:val="00B24B53"/>
    <w:rsid w:val="00B36E14"/>
    <w:rsid w:val="00B444E4"/>
    <w:rsid w:val="00B47106"/>
    <w:rsid w:val="00B70F68"/>
    <w:rsid w:val="00B71422"/>
    <w:rsid w:val="00B7447A"/>
    <w:rsid w:val="00B81836"/>
    <w:rsid w:val="00B86209"/>
    <w:rsid w:val="00B90471"/>
    <w:rsid w:val="00B91D59"/>
    <w:rsid w:val="00B97976"/>
    <w:rsid w:val="00BC31EF"/>
    <w:rsid w:val="00BC3D63"/>
    <w:rsid w:val="00BC4104"/>
    <w:rsid w:val="00BD261B"/>
    <w:rsid w:val="00BE2B1D"/>
    <w:rsid w:val="00BE4568"/>
    <w:rsid w:val="00C20711"/>
    <w:rsid w:val="00C254C1"/>
    <w:rsid w:val="00C4095D"/>
    <w:rsid w:val="00C63939"/>
    <w:rsid w:val="00C71244"/>
    <w:rsid w:val="00C727DC"/>
    <w:rsid w:val="00C7382D"/>
    <w:rsid w:val="00C81A05"/>
    <w:rsid w:val="00C82BC3"/>
    <w:rsid w:val="00C94306"/>
    <w:rsid w:val="00CA2C80"/>
    <w:rsid w:val="00CB10D9"/>
    <w:rsid w:val="00CB66A9"/>
    <w:rsid w:val="00CC02A0"/>
    <w:rsid w:val="00CC763C"/>
    <w:rsid w:val="00CD1AE1"/>
    <w:rsid w:val="00CD4901"/>
    <w:rsid w:val="00CE34E2"/>
    <w:rsid w:val="00CF5E37"/>
    <w:rsid w:val="00D00D57"/>
    <w:rsid w:val="00D13DAD"/>
    <w:rsid w:val="00D16BC0"/>
    <w:rsid w:val="00D30873"/>
    <w:rsid w:val="00D31EA2"/>
    <w:rsid w:val="00D444C5"/>
    <w:rsid w:val="00D72907"/>
    <w:rsid w:val="00D7452E"/>
    <w:rsid w:val="00D7623B"/>
    <w:rsid w:val="00D91697"/>
    <w:rsid w:val="00D95E5D"/>
    <w:rsid w:val="00DA1A91"/>
    <w:rsid w:val="00DA2915"/>
    <w:rsid w:val="00DA29D3"/>
    <w:rsid w:val="00DC751E"/>
    <w:rsid w:val="00DD4663"/>
    <w:rsid w:val="00DE5E6D"/>
    <w:rsid w:val="00DE7ED7"/>
    <w:rsid w:val="00E04B5D"/>
    <w:rsid w:val="00E15475"/>
    <w:rsid w:val="00E233F8"/>
    <w:rsid w:val="00E270A1"/>
    <w:rsid w:val="00E30727"/>
    <w:rsid w:val="00E545F7"/>
    <w:rsid w:val="00E57FD3"/>
    <w:rsid w:val="00E62F73"/>
    <w:rsid w:val="00E70E25"/>
    <w:rsid w:val="00E76177"/>
    <w:rsid w:val="00E86976"/>
    <w:rsid w:val="00E86BBB"/>
    <w:rsid w:val="00E94CE0"/>
    <w:rsid w:val="00EA5AE3"/>
    <w:rsid w:val="00EB0106"/>
    <w:rsid w:val="00EB1219"/>
    <w:rsid w:val="00EC13C8"/>
    <w:rsid w:val="00EC1CD6"/>
    <w:rsid w:val="00EC31F3"/>
    <w:rsid w:val="00EC4B4B"/>
    <w:rsid w:val="00ED612F"/>
    <w:rsid w:val="00EE21FC"/>
    <w:rsid w:val="00EF1A0C"/>
    <w:rsid w:val="00EF5026"/>
    <w:rsid w:val="00F0429C"/>
    <w:rsid w:val="00F05E03"/>
    <w:rsid w:val="00F116BB"/>
    <w:rsid w:val="00F15221"/>
    <w:rsid w:val="00F23412"/>
    <w:rsid w:val="00F267EA"/>
    <w:rsid w:val="00F33EE5"/>
    <w:rsid w:val="00F40246"/>
    <w:rsid w:val="00F55940"/>
    <w:rsid w:val="00F6124D"/>
    <w:rsid w:val="00F63562"/>
    <w:rsid w:val="00F74DBD"/>
    <w:rsid w:val="00F836B1"/>
    <w:rsid w:val="00F842C8"/>
    <w:rsid w:val="00F92C8F"/>
    <w:rsid w:val="00F95452"/>
    <w:rsid w:val="00F97C7D"/>
    <w:rsid w:val="00FA0A4B"/>
    <w:rsid w:val="00FB5478"/>
    <w:rsid w:val="00FC406E"/>
    <w:rsid w:val="00FC575C"/>
    <w:rsid w:val="08F157AD"/>
    <w:rsid w:val="0D651D74"/>
    <w:rsid w:val="19F19167"/>
    <w:rsid w:val="1B3E2513"/>
    <w:rsid w:val="1BFF69BD"/>
    <w:rsid w:val="1D3D3596"/>
    <w:rsid w:val="1DCF0937"/>
    <w:rsid w:val="1F731A89"/>
    <w:rsid w:val="1FDECE12"/>
    <w:rsid w:val="1FEF8161"/>
    <w:rsid w:val="21BE4D3E"/>
    <w:rsid w:val="23677C72"/>
    <w:rsid w:val="2ABF2B4E"/>
    <w:rsid w:val="2F9A16F1"/>
    <w:rsid w:val="2FFF5070"/>
    <w:rsid w:val="2FFF8801"/>
    <w:rsid w:val="31EE1520"/>
    <w:rsid w:val="32A74889"/>
    <w:rsid w:val="35CBA0D1"/>
    <w:rsid w:val="35FEA3FC"/>
    <w:rsid w:val="37BF0E0B"/>
    <w:rsid w:val="37F71834"/>
    <w:rsid w:val="3BE7D4D9"/>
    <w:rsid w:val="3D1F9CE7"/>
    <w:rsid w:val="3DFE34BF"/>
    <w:rsid w:val="3DFF6968"/>
    <w:rsid w:val="3E6D4478"/>
    <w:rsid w:val="3EC7DF25"/>
    <w:rsid w:val="3F7F6885"/>
    <w:rsid w:val="3FA3C4A5"/>
    <w:rsid w:val="3FB78C1A"/>
    <w:rsid w:val="3FDE4B94"/>
    <w:rsid w:val="3FE3B0F3"/>
    <w:rsid w:val="419F5610"/>
    <w:rsid w:val="4F4FE918"/>
    <w:rsid w:val="4F7DE296"/>
    <w:rsid w:val="4F9775F1"/>
    <w:rsid w:val="4FEF0E03"/>
    <w:rsid w:val="52F71D24"/>
    <w:rsid w:val="554A326B"/>
    <w:rsid w:val="569F166D"/>
    <w:rsid w:val="591FBA51"/>
    <w:rsid w:val="5DFFA79D"/>
    <w:rsid w:val="5FA29DE8"/>
    <w:rsid w:val="5FB5AC2B"/>
    <w:rsid w:val="5FED714B"/>
    <w:rsid w:val="5FFDFB7F"/>
    <w:rsid w:val="63966D33"/>
    <w:rsid w:val="65F5D488"/>
    <w:rsid w:val="67754805"/>
    <w:rsid w:val="67DCF2D8"/>
    <w:rsid w:val="69DB0615"/>
    <w:rsid w:val="6B2EB59F"/>
    <w:rsid w:val="6D3F87B4"/>
    <w:rsid w:val="6DDFF480"/>
    <w:rsid w:val="6DF75ABD"/>
    <w:rsid w:val="6EFE1A40"/>
    <w:rsid w:val="6F775772"/>
    <w:rsid w:val="6F7F23D4"/>
    <w:rsid w:val="6F7FE2DA"/>
    <w:rsid w:val="6FFEDF73"/>
    <w:rsid w:val="715E04F0"/>
    <w:rsid w:val="71674096"/>
    <w:rsid w:val="72753AA1"/>
    <w:rsid w:val="73DFB9B9"/>
    <w:rsid w:val="74C13D83"/>
    <w:rsid w:val="75FB4E15"/>
    <w:rsid w:val="773DEC53"/>
    <w:rsid w:val="77B572DE"/>
    <w:rsid w:val="77BF0B1C"/>
    <w:rsid w:val="77BFC4E8"/>
    <w:rsid w:val="77F7697B"/>
    <w:rsid w:val="77F77D4C"/>
    <w:rsid w:val="77FF6B7F"/>
    <w:rsid w:val="78A6AE97"/>
    <w:rsid w:val="78FFD69E"/>
    <w:rsid w:val="795F672F"/>
    <w:rsid w:val="79DF4461"/>
    <w:rsid w:val="7A1FA936"/>
    <w:rsid w:val="7A5BF357"/>
    <w:rsid w:val="7A5FE379"/>
    <w:rsid w:val="7B6B32B6"/>
    <w:rsid w:val="7B969305"/>
    <w:rsid w:val="7BF98797"/>
    <w:rsid w:val="7BFB423F"/>
    <w:rsid w:val="7BFBC966"/>
    <w:rsid w:val="7BFDA2B8"/>
    <w:rsid w:val="7CCF8B91"/>
    <w:rsid w:val="7CEF19C7"/>
    <w:rsid w:val="7CFFC3F1"/>
    <w:rsid w:val="7D7A13DE"/>
    <w:rsid w:val="7D95BF93"/>
    <w:rsid w:val="7D9F7856"/>
    <w:rsid w:val="7DBFEE27"/>
    <w:rsid w:val="7DC644F0"/>
    <w:rsid w:val="7DFF205F"/>
    <w:rsid w:val="7DFF795E"/>
    <w:rsid w:val="7EFAA218"/>
    <w:rsid w:val="7F18A419"/>
    <w:rsid w:val="7F5FEC10"/>
    <w:rsid w:val="7F6E770D"/>
    <w:rsid w:val="7F78365D"/>
    <w:rsid w:val="7F9BEC71"/>
    <w:rsid w:val="7FCBF776"/>
    <w:rsid w:val="7FE6C1E4"/>
    <w:rsid w:val="7FEC31DB"/>
    <w:rsid w:val="7FFBDFB3"/>
    <w:rsid w:val="7FFF0BCA"/>
    <w:rsid w:val="8EBD1FA5"/>
    <w:rsid w:val="9B3D0BA5"/>
    <w:rsid w:val="9D3BF719"/>
    <w:rsid w:val="9FB6E7A7"/>
    <w:rsid w:val="9FD45BB0"/>
    <w:rsid w:val="9FFB3634"/>
    <w:rsid w:val="A6BF71BE"/>
    <w:rsid w:val="ACBF26B2"/>
    <w:rsid w:val="AD7D4409"/>
    <w:rsid w:val="AF37B4B4"/>
    <w:rsid w:val="B2143F5C"/>
    <w:rsid w:val="B67F1D03"/>
    <w:rsid w:val="B6EBB211"/>
    <w:rsid w:val="B7EFC71E"/>
    <w:rsid w:val="B9F4C7D2"/>
    <w:rsid w:val="BD732490"/>
    <w:rsid w:val="BEFB0DD7"/>
    <w:rsid w:val="BEFF4540"/>
    <w:rsid w:val="BFB3E6C1"/>
    <w:rsid w:val="BFDB6FA1"/>
    <w:rsid w:val="BFF7B72C"/>
    <w:rsid w:val="BFFBEF35"/>
    <w:rsid w:val="BFFD553F"/>
    <w:rsid w:val="BFFFB7C0"/>
    <w:rsid w:val="CBD5DB2E"/>
    <w:rsid w:val="CBDBF1B9"/>
    <w:rsid w:val="CBF78B98"/>
    <w:rsid w:val="CBFBA3CC"/>
    <w:rsid w:val="CBFF92DC"/>
    <w:rsid w:val="CFFF69D3"/>
    <w:rsid w:val="D3D7BDC1"/>
    <w:rsid w:val="D6FB04C2"/>
    <w:rsid w:val="D7AB5F74"/>
    <w:rsid w:val="D7C38C79"/>
    <w:rsid w:val="D7D6D408"/>
    <w:rsid w:val="D7DF5964"/>
    <w:rsid w:val="D7F7DFDE"/>
    <w:rsid w:val="DB3AFC0C"/>
    <w:rsid w:val="DB3E2541"/>
    <w:rsid w:val="DE0F7E53"/>
    <w:rsid w:val="DE27C07F"/>
    <w:rsid w:val="DEEB175F"/>
    <w:rsid w:val="DEFBC56E"/>
    <w:rsid w:val="DEFBDC69"/>
    <w:rsid w:val="DF3BE664"/>
    <w:rsid w:val="DF7B87E5"/>
    <w:rsid w:val="DF7FB37F"/>
    <w:rsid w:val="DFBF0FF9"/>
    <w:rsid w:val="DFE81005"/>
    <w:rsid w:val="DFFB0B16"/>
    <w:rsid w:val="DFFCC66F"/>
    <w:rsid w:val="DFFE4F2C"/>
    <w:rsid w:val="DFFFADE2"/>
    <w:rsid w:val="E3111CEE"/>
    <w:rsid w:val="E3FB3D5A"/>
    <w:rsid w:val="E79F05F3"/>
    <w:rsid w:val="EDFFD0C7"/>
    <w:rsid w:val="EF3FD32F"/>
    <w:rsid w:val="EF5B83CF"/>
    <w:rsid w:val="EFBE1FE4"/>
    <w:rsid w:val="EFBFF231"/>
    <w:rsid w:val="EFFD19D3"/>
    <w:rsid w:val="EFFD64AC"/>
    <w:rsid w:val="F1C7CE4C"/>
    <w:rsid w:val="F3DF0B11"/>
    <w:rsid w:val="F5BF3475"/>
    <w:rsid w:val="F5F7A811"/>
    <w:rsid w:val="F6E77180"/>
    <w:rsid w:val="F6FC1F49"/>
    <w:rsid w:val="F74B4B42"/>
    <w:rsid w:val="F77D4AFC"/>
    <w:rsid w:val="F78DEA6E"/>
    <w:rsid w:val="F7AE2DCD"/>
    <w:rsid w:val="F7BA6AE1"/>
    <w:rsid w:val="F7F7D381"/>
    <w:rsid w:val="F94AC08F"/>
    <w:rsid w:val="F9FE0E6C"/>
    <w:rsid w:val="F9FFAD61"/>
    <w:rsid w:val="F9FFEB86"/>
    <w:rsid w:val="FABFEB5C"/>
    <w:rsid w:val="FAED2AD3"/>
    <w:rsid w:val="FBDC0F7D"/>
    <w:rsid w:val="FBE7BE69"/>
    <w:rsid w:val="FBF7D45B"/>
    <w:rsid w:val="FDAF25F5"/>
    <w:rsid w:val="FDD77058"/>
    <w:rsid w:val="FDDF81BE"/>
    <w:rsid w:val="FDF71A73"/>
    <w:rsid w:val="FDF7E6A3"/>
    <w:rsid w:val="FDFF38A8"/>
    <w:rsid w:val="FDFFD53A"/>
    <w:rsid w:val="FE6BFB10"/>
    <w:rsid w:val="FE6DFFBC"/>
    <w:rsid w:val="FEA7562C"/>
    <w:rsid w:val="FEA81493"/>
    <w:rsid w:val="FEBB8BE9"/>
    <w:rsid w:val="FF2749FD"/>
    <w:rsid w:val="FF549A33"/>
    <w:rsid w:val="FF5BB5E0"/>
    <w:rsid w:val="FF77214F"/>
    <w:rsid w:val="FF7ACDBC"/>
    <w:rsid w:val="FFAD73B5"/>
    <w:rsid w:val="FFCE9FED"/>
    <w:rsid w:val="FFF72229"/>
    <w:rsid w:val="FFFB4807"/>
    <w:rsid w:val="FFFD3DEA"/>
    <w:rsid w:val="FFFD65AF"/>
    <w:rsid w:val="FFFD9CD1"/>
    <w:rsid w:val="FFFED398"/>
    <w:rsid w:val="FFFF01D6"/>
    <w:rsid w:val="FFFF90D2"/>
    <w:rsid w:val="FFFFD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endnote text"/>
    <w:basedOn w:val="1"/>
    <w:qFormat/>
    <w:uiPriority w:val="0"/>
    <w:pPr>
      <w:snapToGrid w:val="0"/>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footnote text"/>
    <w:basedOn w:val="1"/>
    <w:qFormat/>
    <w:uiPriority w:val="0"/>
    <w:pPr>
      <w:snapToGrid w:val="0"/>
      <w:jc w:val="left"/>
    </w:pPr>
    <w:rPr>
      <w:sz w:val="18"/>
    </w:r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annotation subject"/>
    <w:basedOn w:val="2"/>
    <w:next w:val="2"/>
    <w:link w:val="17"/>
    <w:qFormat/>
    <w:uiPriority w:val="0"/>
    <w:rPr>
      <w:b/>
      <w:bCs/>
    </w:rPr>
  </w:style>
  <w:style w:type="character" w:styleId="11">
    <w:name w:val="Strong"/>
    <w:basedOn w:val="10"/>
    <w:qFormat/>
    <w:uiPriority w:val="0"/>
    <w:rPr>
      <w:b/>
    </w:rPr>
  </w:style>
  <w:style w:type="character" w:styleId="12">
    <w:name w:val="endnote reference"/>
    <w:basedOn w:val="10"/>
    <w:qFormat/>
    <w:uiPriority w:val="0"/>
    <w:rPr>
      <w:vertAlign w:val="superscript"/>
    </w:rPr>
  </w:style>
  <w:style w:type="character" w:styleId="13">
    <w:name w:val="Hyperlink"/>
    <w:basedOn w:val="10"/>
    <w:qFormat/>
    <w:uiPriority w:val="0"/>
    <w:rPr>
      <w:color w:val="0000FF"/>
      <w:u w:val="single"/>
    </w:rPr>
  </w:style>
  <w:style w:type="character" w:styleId="14">
    <w:name w:val="annotation reference"/>
    <w:basedOn w:val="10"/>
    <w:qFormat/>
    <w:uiPriority w:val="0"/>
    <w:rPr>
      <w:sz w:val="21"/>
      <w:szCs w:val="21"/>
    </w:rPr>
  </w:style>
  <w:style w:type="character" w:styleId="15">
    <w:name w:val="footnote reference"/>
    <w:basedOn w:val="10"/>
    <w:qFormat/>
    <w:uiPriority w:val="0"/>
    <w:rPr>
      <w:vertAlign w:val="superscript"/>
    </w:rPr>
  </w:style>
  <w:style w:type="character" w:customStyle="1" w:styleId="16">
    <w:name w:val="批注文字 字符"/>
    <w:basedOn w:val="10"/>
    <w:link w:val="2"/>
    <w:qFormat/>
    <w:uiPriority w:val="0"/>
    <w:rPr>
      <w:rFonts w:asciiTheme="minorHAnsi" w:hAnsiTheme="minorHAnsi" w:eastAsiaTheme="minorEastAsia" w:cstheme="minorBidi"/>
      <w:kern w:val="2"/>
      <w:sz w:val="21"/>
      <w:szCs w:val="24"/>
    </w:rPr>
  </w:style>
  <w:style w:type="character" w:customStyle="1" w:styleId="17">
    <w:name w:val="批注主题 字符"/>
    <w:basedOn w:val="16"/>
    <w:link w:val="8"/>
    <w:qFormat/>
    <w:uiPriority w:val="0"/>
    <w:rPr>
      <w:rFonts w:asciiTheme="minorHAnsi" w:hAnsiTheme="minorHAnsi" w:eastAsiaTheme="minorEastAsia" w:cstheme="minorBidi"/>
      <w:b/>
      <w:bCs/>
      <w:kern w:val="2"/>
      <w:sz w:val="21"/>
      <w:szCs w:val="24"/>
    </w:rPr>
  </w:style>
  <w:style w:type="paragraph" w:customStyle="1" w:styleId="18">
    <w:name w:val="书目1"/>
    <w:basedOn w:val="1"/>
    <w:link w:val="19"/>
    <w:qFormat/>
    <w:uiPriority w:val="0"/>
    <w:pPr>
      <w:ind w:left="720" w:hanging="720"/>
    </w:pPr>
    <w:rPr>
      <w:rFonts w:ascii="Times New Roman" w:hAnsi="Times New Roman"/>
    </w:rPr>
  </w:style>
  <w:style w:type="character" w:customStyle="1" w:styleId="19">
    <w:name w:val="Bibliography 字符"/>
    <w:basedOn w:val="10"/>
    <w:link w:val="18"/>
    <w:qFormat/>
    <w:uiPriority w:val="0"/>
    <w:rPr>
      <w:rFonts w:eastAsiaTheme="minorEastAsia" w:cstheme="minorBidi"/>
      <w:kern w:val="2"/>
      <w:sz w:val="21"/>
      <w:szCs w:val="24"/>
    </w:rPr>
  </w:style>
  <w:style w:type="character" w:customStyle="1" w:styleId="20">
    <w:name w:val="未处理的提及1"/>
    <w:basedOn w:val="1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5490</Words>
  <Characters>36310</Characters>
  <Lines>1525</Lines>
  <Paragraphs>429</Paragraphs>
  <TotalTime>180</TotalTime>
  <ScaleCrop>false</ScaleCrop>
  <LinksUpToDate>false</LinksUpToDate>
  <CharactersWithSpaces>41719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2022-12-18T19:28:00Z</dcterms:created>
  <dc:creator>Lin Y.</dc:creator>
  <cp:lastModifiedBy>Lin Y.</cp:lastModifiedBy>
  <dcterms:modified xsi:type="dcterms:W3CDTF">2023-01-24T01:57:40Z</dcterms:modified>
  <cp:revision>285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0277BF2FB8773F1A32719A63BABDD1E6</vt:lpwstr>
  </property>
  <property fmtid="{D5CDD505-2E9C-101B-9397-08002B2CF9AE}" pid="4" name="ZOTERO_PREF_1">
    <vt:lpwstr>&lt;data data-version="3" zotero-version="6.0.20"&gt;&lt;session id="UWUdj8vl"/&gt;&lt;style id="http://www.zotero.org/styles/energy-economics" hasBibliography="1" bibliographyStyleHasBeenSet="1"/&gt;&lt;prefs&gt;&lt;pref name="fieldType" value="Field"/&gt;&lt;pref name="automaticJournal</vt:lpwstr>
  </property>
  <property fmtid="{D5CDD505-2E9C-101B-9397-08002B2CF9AE}" pid="5" name="ZOTERO_PREF_2">
    <vt:lpwstr>Abbreviations" value="true"/&gt;&lt;/prefs&gt;&lt;/data&gt;</vt:lpwstr>
  </property>
</Properties>
</file>